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22" w:rsidRPr="003526D0" w:rsidRDefault="00736F37" w:rsidP="004B39FB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val="tr-TR"/>
        </w:rPr>
      </w:pPr>
      <w:bookmarkStart w:id="0" w:name="_GoBack"/>
      <w:bookmarkEnd w:id="0"/>
      <w:r w:rsidRPr="003526D0">
        <w:rPr>
          <w:rFonts w:ascii="Arial" w:hAnsi="Arial" w:cs="Arial"/>
          <w:b/>
          <w:sz w:val="20"/>
          <w:szCs w:val="20"/>
          <w:lang w:val="tr-TR"/>
        </w:rPr>
        <w:t>20</w:t>
      </w:r>
      <w:r w:rsidR="001C44F6">
        <w:rPr>
          <w:rFonts w:ascii="Arial" w:hAnsi="Arial" w:cs="Arial"/>
          <w:b/>
          <w:sz w:val="20"/>
          <w:szCs w:val="20"/>
          <w:lang w:val="tr-TR"/>
        </w:rPr>
        <w:t>20</w:t>
      </w:r>
      <w:r w:rsidR="00072375" w:rsidRPr="003526D0">
        <w:rPr>
          <w:rFonts w:ascii="Arial" w:hAnsi="Arial" w:cs="Arial"/>
          <w:b/>
          <w:sz w:val="20"/>
          <w:szCs w:val="20"/>
          <w:lang w:val="tr-TR"/>
        </w:rPr>
        <w:t xml:space="preserve"> yılı sonu itibariyle </w:t>
      </w:r>
      <w:r w:rsidR="001C44F6">
        <w:rPr>
          <w:rFonts w:ascii="Arial" w:hAnsi="Arial" w:cs="Arial"/>
          <w:b/>
          <w:sz w:val="20"/>
          <w:szCs w:val="20"/>
          <w:lang w:val="tr-TR"/>
        </w:rPr>
        <w:t>79</w:t>
      </w:r>
      <w:r w:rsidR="00743FB6" w:rsidRPr="003526D0">
        <w:rPr>
          <w:rFonts w:ascii="Arial" w:hAnsi="Arial" w:cs="Arial"/>
          <w:b/>
          <w:sz w:val="20"/>
          <w:szCs w:val="20"/>
          <w:lang w:val="tr-TR"/>
        </w:rPr>
        <w:t>.</w:t>
      </w:r>
      <w:r w:rsidR="001C44F6">
        <w:rPr>
          <w:rFonts w:ascii="Arial" w:hAnsi="Arial" w:cs="Arial"/>
          <w:b/>
          <w:sz w:val="20"/>
          <w:szCs w:val="20"/>
          <w:lang w:val="tr-TR"/>
        </w:rPr>
        <w:t>221</w:t>
      </w:r>
      <w:r w:rsidR="005476B2" w:rsidRPr="003526D0">
        <w:rPr>
          <w:rFonts w:ascii="Arial" w:hAnsi="Arial" w:cs="Arial"/>
          <w:b/>
          <w:sz w:val="20"/>
          <w:szCs w:val="20"/>
          <w:lang w:val="tr-TR"/>
        </w:rPr>
        <w:t xml:space="preserve"> adet geçerli 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>Sanayi Kapasite Raporu bulunmaktadır.</w:t>
      </w:r>
    </w:p>
    <w:p w:rsidR="00323EE8" w:rsidRPr="003526D0" w:rsidRDefault="00323EE8" w:rsidP="004B39FB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2F2922" w:rsidRPr="003526D0" w:rsidRDefault="00736F37" w:rsidP="004B39FB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201</w:t>
      </w:r>
      <w:r w:rsidR="001C44F6">
        <w:rPr>
          <w:rFonts w:ascii="Arial" w:hAnsi="Arial" w:cs="Arial"/>
          <w:sz w:val="20"/>
          <w:szCs w:val="20"/>
          <w:lang w:val="tr-TR"/>
        </w:rPr>
        <w:t>9</w:t>
      </w:r>
      <w:r w:rsidR="00072375" w:rsidRPr="003526D0">
        <w:rPr>
          <w:rFonts w:ascii="Arial" w:hAnsi="Arial" w:cs="Arial"/>
          <w:sz w:val="20"/>
          <w:szCs w:val="20"/>
          <w:lang w:val="tr-TR"/>
        </w:rPr>
        <w:t xml:space="preserve"> yılında </w:t>
      </w:r>
      <w:r w:rsidR="001C44F6">
        <w:rPr>
          <w:rFonts w:ascii="Arial" w:hAnsi="Arial" w:cs="Arial"/>
          <w:sz w:val="20"/>
          <w:szCs w:val="20"/>
          <w:lang w:val="tr-TR"/>
        </w:rPr>
        <w:t>75</w:t>
      </w:r>
      <w:r w:rsidR="00743FB6" w:rsidRPr="003526D0">
        <w:rPr>
          <w:rFonts w:ascii="Arial" w:hAnsi="Arial" w:cs="Arial"/>
          <w:sz w:val="20"/>
          <w:szCs w:val="20"/>
          <w:lang w:val="tr-TR"/>
        </w:rPr>
        <w:t>.</w:t>
      </w:r>
      <w:r w:rsidR="001C44F6">
        <w:rPr>
          <w:rFonts w:ascii="Arial" w:hAnsi="Arial" w:cs="Arial"/>
          <w:sz w:val="20"/>
          <w:szCs w:val="20"/>
          <w:lang w:val="tr-TR"/>
        </w:rPr>
        <w:t>683</w:t>
      </w:r>
      <w:r w:rsidR="002F2922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CD7339" w:rsidRPr="003526D0">
        <w:rPr>
          <w:rFonts w:ascii="Arial" w:hAnsi="Arial" w:cs="Arial"/>
          <w:sz w:val="20"/>
          <w:szCs w:val="20"/>
          <w:lang w:val="tr-TR"/>
        </w:rPr>
        <w:t xml:space="preserve">olan Kapasite Rapor sayısı, </w:t>
      </w:r>
      <w:r w:rsidR="001C44F6">
        <w:rPr>
          <w:rFonts w:ascii="Arial" w:hAnsi="Arial" w:cs="Arial"/>
          <w:sz w:val="20"/>
          <w:szCs w:val="20"/>
          <w:lang w:val="tr-TR"/>
        </w:rPr>
        <w:t>2020</w:t>
      </w:r>
      <w:r w:rsidR="00072375" w:rsidRPr="003526D0">
        <w:rPr>
          <w:rFonts w:ascii="Arial" w:hAnsi="Arial" w:cs="Arial"/>
          <w:sz w:val="20"/>
          <w:szCs w:val="20"/>
          <w:lang w:val="tr-TR"/>
        </w:rPr>
        <w:t xml:space="preserve"> yılında  %</w:t>
      </w:r>
      <w:r w:rsidR="00A84B9C">
        <w:rPr>
          <w:rFonts w:ascii="Arial" w:hAnsi="Arial" w:cs="Arial"/>
          <w:sz w:val="20"/>
          <w:szCs w:val="20"/>
          <w:lang w:val="tr-TR"/>
        </w:rPr>
        <w:t>4</w:t>
      </w:r>
      <w:r w:rsidR="001C44F6">
        <w:rPr>
          <w:rFonts w:ascii="Arial" w:hAnsi="Arial" w:cs="Arial"/>
          <w:sz w:val="20"/>
          <w:szCs w:val="20"/>
          <w:lang w:val="tr-TR"/>
        </w:rPr>
        <w:t>,</w:t>
      </w:r>
      <w:r w:rsidR="00A84B9C">
        <w:rPr>
          <w:rFonts w:ascii="Arial" w:hAnsi="Arial" w:cs="Arial"/>
          <w:sz w:val="20"/>
          <w:szCs w:val="20"/>
          <w:lang w:val="tr-TR"/>
        </w:rPr>
        <w:t>7</w:t>
      </w:r>
      <w:r w:rsidR="00A52187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0C0B12" w:rsidRPr="003526D0">
        <w:rPr>
          <w:rFonts w:ascii="Arial" w:hAnsi="Arial" w:cs="Arial"/>
          <w:sz w:val="20"/>
          <w:szCs w:val="20"/>
          <w:lang w:val="tr-TR"/>
        </w:rPr>
        <w:t>art</w:t>
      </w:r>
      <w:r w:rsidR="00E0068C" w:rsidRPr="003526D0">
        <w:rPr>
          <w:rFonts w:ascii="Arial" w:hAnsi="Arial" w:cs="Arial"/>
          <w:sz w:val="20"/>
          <w:szCs w:val="20"/>
          <w:lang w:val="tr-TR"/>
        </w:rPr>
        <w:t>ışla</w:t>
      </w:r>
      <w:r w:rsidR="00072375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1C44F6">
        <w:rPr>
          <w:rFonts w:ascii="Arial" w:hAnsi="Arial" w:cs="Arial"/>
          <w:sz w:val="20"/>
          <w:szCs w:val="20"/>
          <w:lang w:val="tr-TR"/>
        </w:rPr>
        <w:t>79.221</w:t>
      </w:r>
      <w:r w:rsidR="000C0B12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2F2922" w:rsidRPr="003526D0">
        <w:rPr>
          <w:rFonts w:ascii="Arial" w:hAnsi="Arial" w:cs="Arial"/>
          <w:sz w:val="20"/>
          <w:szCs w:val="20"/>
          <w:lang w:val="tr-TR"/>
        </w:rPr>
        <w:t xml:space="preserve">olmuştur. </w:t>
      </w:r>
    </w:p>
    <w:p w:rsidR="002F2922" w:rsidRPr="003526D0" w:rsidRDefault="002F2922" w:rsidP="004B39FB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Bu raporların ait o</w:t>
      </w:r>
      <w:r w:rsidR="004C4ECC" w:rsidRPr="003526D0">
        <w:rPr>
          <w:rFonts w:ascii="Arial" w:hAnsi="Arial" w:cs="Arial"/>
          <w:sz w:val="20"/>
          <w:szCs w:val="20"/>
          <w:lang w:val="tr-TR"/>
        </w:rPr>
        <w:t>lduğu üretim tesislerinin %</w:t>
      </w:r>
      <w:r w:rsidR="00AA0200">
        <w:rPr>
          <w:rFonts w:ascii="Arial" w:hAnsi="Arial" w:cs="Arial"/>
          <w:sz w:val="20"/>
          <w:szCs w:val="20"/>
          <w:lang w:val="tr-TR"/>
        </w:rPr>
        <w:t>42</w:t>
      </w:r>
      <w:r w:rsidR="0036399A" w:rsidRPr="003526D0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9</w:t>
      </w:r>
      <w:r w:rsidR="00157E32"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unda</w:t>
      </w:r>
      <w:r w:rsidR="004C4ECC" w:rsidRPr="003526D0">
        <w:rPr>
          <w:rFonts w:ascii="Arial" w:hAnsi="Arial" w:cs="Arial"/>
          <w:sz w:val="20"/>
          <w:szCs w:val="20"/>
          <w:lang w:val="tr-TR"/>
        </w:rPr>
        <w:t xml:space="preserve"> 1-9 arasında, %</w:t>
      </w:r>
      <w:r w:rsidR="00AA0200">
        <w:rPr>
          <w:rFonts w:ascii="Arial" w:hAnsi="Arial" w:cs="Arial"/>
          <w:sz w:val="20"/>
          <w:szCs w:val="20"/>
          <w:lang w:val="tr-TR"/>
        </w:rPr>
        <w:t>40</w:t>
      </w:r>
      <w:r w:rsidR="00C46F52" w:rsidRPr="003526D0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3</w:t>
      </w:r>
      <w:r w:rsidR="00F578C6"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ü</w:t>
      </w:r>
      <w:r w:rsidR="00AA0200">
        <w:rPr>
          <w:rFonts w:ascii="Arial" w:hAnsi="Arial" w:cs="Arial"/>
          <w:sz w:val="20"/>
          <w:szCs w:val="20"/>
          <w:lang w:val="tr-TR"/>
        </w:rPr>
        <w:t>n</w:t>
      </w:r>
      <w:r w:rsidR="00D54EEF">
        <w:rPr>
          <w:rFonts w:ascii="Arial" w:hAnsi="Arial" w:cs="Arial"/>
          <w:sz w:val="20"/>
          <w:szCs w:val="20"/>
          <w:lang w:val="tr-TR"/>
        </w:rPr>
        <w:t>de</w:t>
      </w:r>
      <w:r w:rsidR="00C46F52" w:rsidRPr="003526D0">
        <w:rPr>
          <w:rFonts w:ascii="Arial" w:hAnsi="Arial" w:cs="Arial"/>
          <w:sz w:val="20"/>
          <w:szCs w:val="20"/>
          <w:lang w:val="tr-TR"/>
        </w:rPr>
        <w:t xml:space="preserve"> 10-49 arasında, %</w:t>
      </w:r>
      <w:r w:rsidR="00D54EEF">
        <w:rPr>
          <w:rFonts w:ascii="Arial" w:hAnsi="Arial" w:cs="Arial"/>
          <w:sz w:val="20"/>
          <w:szCs w:val="20"/>
          <w:lang w:val="tr-TR"/>
        </w:rPr>
        <w:t>8</w:t>
      </w:r>
      <w:r w:rsidR="004C4ECC" w:rsidRPr="003526D0">
        <w:rPr>
          <w:rFonts w:ascii="Arial" w:hAnsi="Arial" w:cs="Arial"/>
          <w:sz w:val="20"/>
          <w:szCs w:val="20"/>
          <w:lang w:val="tr-TR"/>
        </w:rPr>
        <w:t>,</w:t>
      </w:r>
      <w:r w:rsidR="00D54EEF">
        <w:rPr>
          <w:rFonts w:ascii="Arial" w:hAnsi="Arial" w:cs="Arial"/>
          <w:sz w:val="20"/>
          <w:szCs w:val="20"/>
          <w:lang w:val="tr-TR"/>
        </w:rPr>
        <w:t>1</w:t>
      </w:r>
      <w:r w:rsidR="00F578C6" w:rsidRPr="003526D0">
        <w:rPr>
          <w:rFonts w:ascii="Arial" w:hAnsi="Arial" w:cs="Arial"/>
          <w:sz w:val="20"/>
          <w:szCs w:val="20"/>
          <w:lang w:val="tr-TR"/>
        </w:rPr>
        <w:t>’</w:t>
      </w:r>
      <w:r w:rsidR="00D54EEF">
        <w:rPr>
          <w:rFonts w:ascii="Arial" w:hAnsi="Arial" w:cs="Arial"/>
          <w:sz w:val="20"/>
          <w:szCs w:val="20"/>
          <w:lang w:val="tr-TR"/>
        </w:rPr>
        <w:t>inde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195198">
        <w:rPr>
          <w:rFonts w:ascii="Arial" w:hAnsi="Arial" w:cs="Arial"/>
          <w:sz w:val="20"/>
          <w:szCs w:val="20"/>
          <w:lang w:val="tr-TR"/>
        </w:rPr>
        <w:t>50-99 arasında, %</w:t>
      </w:r>
      <w:r w:rsidR="00D54EEF">
        <w:rPr>
          <w:rFonts w:ascii="Arial" w:hAnsi="Arial" w:cs="Arial"/>
          <w:sz w:val="20"/>
          <w:szCs w:val="20"/>
          <w:lang w:val="tr-TR"/>
        </w:rPr>
        <w:t>6</w:t>
      </w:r>
      <w:r w:rsidR="004C4ECC" w:rsidRPr="003526D0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1</w:t>
      </w:r>
      <w:r w:rsidR="00F578C6" w:rsidRPr="003526D0">
        <w:rPr>
          <w:rFonts w:ascii="Arial" w:hAnsi="Arial" w:cs="Arial"/>
          <w:sz w:val="20"/>
          <w:szCs w:val="20"/>
          <w:lang w:val="tr-TR"/>
        </w:rPr>
        <w:t>’</w:t>
      </w:r>
      <w:r w:rsidR="00D54EEF">
        <w:rPr>
          <w:rFonts w:ascii="Arial" w:hAnsi="Arial" w:cs="Arial"/>
          <w:sz w:val="20"/>
          <w:szCs w:val="20"/>
          <w:lang w:val="tr-TR"/>
        </w:rPr>
        <w:t>i</w:t>
      </w:r>
      <w:r w:rsidR="00F578C6" w:rsidRPr="003526D0">
        <w:rPr>
          <w:rFonts w:ascii="Arial" w:hAnsi="Arial" w:cs="Arial"/>
          <w:sz w:val="20"/>
          <w:szCs w:val="20"/>
          <w:lang w:val="tr-TR"/>
        </w:rPr>
        <w:t>n</w:t>
      </w:r>
      <w:r w:rsidR="00CD7339" w:rsidRPr="003526D0">
        <w:rPr>
          <w:rFonts w:ascii="Arial" w:hAnsi="Arial" w:cs="Arial"/>
          <w:sz w:val="20"/>
          <w:szCs w:val="20"/>
          <w:lang w:val="tr-TR"/>
        </w:rPr>
        <w:t>de 100-249 arasında, %</w:t>
      </w:r>
      <w:r w:rsidR="00D54EEF">
        <w:rPr>
          <w:rFonts w:ascii="Arial" w:hAnsi="Arial" w:cs="Arial"/>
          <w:sz w:val="20"/>
          <w:szCs w:val="20"/>
          <w:lang w:val="tr-TR"/>
        </w:rPr>
        <w:t>2</w:t>
      </w:r>
      <w:r w:rsidR="00CD7339" w:rsidRPr="003526D0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7</w:t>
      </w:r>
      <w:r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s</w:t>
      </w:r>
      <w:r w:rsidR="00AA0200">
        <w:rPr>
          <w:rFonts w:ascii="Arial" w:hAnsi="Arial" w:cs="Arial"/>
          <w:sz w:val="20"/>
          <w:szCs w:val="20"/>
          <w:lang w:val="tr-TR"/>
        </w:rPr>
        <w:t>in</w:t>
      </w:r>
      <w:r w:rsidR="00D54EEF">
        <w:rPr>
          <w:rFonts w:ascii="Arial" w:hAnsi="Arial" w:cs="Arial"/>
          <w:sz w:val="20"/>
          <w:szCs w:val="20"/>
          <w:lang w:val="tr-TR"/>
        </w:rPr>
        <w:t>de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ise 250’den fazla çalışan bulunmaktadır.</w:t>
      </w:r>
    </w:p>
    <w:p w:rsidR="004B39FB" w:rsidRPr="003526D0" w:rsidRDefault="004B39FB" w:rsidP="004B39FB">
      <w:pPr>
        <w:pStyle w:val="ListeParagraf"/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tr-TR"/>
        </w:rPr>
      </w:pPr>
    </w:p>
    <w:p w:rsidR="002F2922" w:rsidRPr="003526D0" w:rsidRDefault="00117C2E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2020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 yılın</w:t>
      </w:r>
      <w:r w:rsidR="00DB4938" w:rsidRPr="003526D0">
        <w:rPr>
          <w:rFonts w:ascii="Arial" w:hAnsi="Arial" w:cs="Arial"/>
          <w:b/>
          <w:sz w:val="20"/>
          <w:szCs w:val="20"/>
          <w:lang w:val="tr-TR"/>
        </w:rPr>
        <w:t xml:space="preserve">da </w:t>
      </w:r>
      <w:r w:rsidR="004B39FB" w:rsidRPr="003526D0">
        <w:rPr>
          <w:rFonts w:ascii="Arial" w:hAnsi="Arial" w:cs="Arial"/>
          <w:b/>
          <w:sz w:val="20"/>
          <w:szCs w:val="20"/>
          <w:lang w:val="tr-TR"/>
        </w:rPr>
        <w:t xml:space="preserve">Sanayi Kapasite raporuna sahip tesislerde toplam çalışan sayısı önceki yıla göre </w:t>
      </w:r>
      <w:r w:rsidR="005F6CAA" w:rsidRPr="003526D0">
        <w:rPr>
          <w:rFonts w:ascii="Arial" w:hAnsi="Arial" w:cs="Arial"/>
          <w:b/>
          <w:sz w:val="20"/>
          <w:szCs w:val="20"/>
          <w:lang w:val="tr-TR"/>
        </w:rPr>
        <w:br/>
      </w:r>
      <w:r w:rsidR="004B39FB" w:rsidRPr="003526D0">
        <w:rPr>
          <w:rFonts w:ascii="Arial" w:hAnsi="Arial" w:cs="Arial"/>
          <w:b/>
          <w:sz w:val="20"/>
          <w:szCs w:val="20"/>
          <w:lang w:val="tr-TR"/>
        </w:rPr>
        <w:t>%</w:t>
      </w:r>
      <w:r w:rsidR="0002322C">
        <w:rPr>
          <w:rFonts w:ascii="Arial" w:hAnsi="Arial" w:cs="Arial"/>
          <w:b/>
          <w:sz w:val="20"/>
          <w:szCs w:val="20"/>
          <w:lang w:val="tr-TR"/>
        </w:rPr>
        <w:t>4</w:t>
      </w:r>
      <w:r w:rsidR="004B39FB" w:rsidRPr="003526D0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8C48CD" w:rsidRPr="003526D0">
        <w:rPr>
          <w:rFonts w:ascii="Arial" w:hAnsi="Arial" w:cs="Arial"/>
          <w:b/>
          <w:sz w:val="20"/>
          <w:szCs w:val="20"/>
          <w:lang w:val="tr-TR"/>
        </w:rPr>
        <w:t>art</w:t>
      </w:r>
      <w:r w:rsidR="005F6CAA" w:rsidRPr="003526D0">
        <w:rPr>
          <w:rFonts w:ascii="Arial" w:hAnsi="Arial" w:cs="Arial"/>
          <w:b/>
          <w:sz w:val="20"/>
          <w:szCs w:val="20"/>
          <w:lang w:val="tr-TR"/>
        </w:rPr>
        <w:t>ışla</w:t>
      </w:r>
      <w:r w:rsidR="001C05D5" w:rsidRPr="003526D0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920496" w:rsidRPr="003526D0">
        <w:rPr>
          <w:rFonts w:ascii="Arial" w:hAnsi="Arial" w:cs="Arial"/>
          <w:b/>
          <w:sz w:val="20"/>
          <w:szCs w:val="20"/>
          <w:lang w:val="tr-TR"/>
        </w:rPr>
        <w:t>3</w:t>
      </w:r>
      <w:r w:rsidR="001C05D5" w:rsidRPr="003526D0">
        <w:rPr>
          <w:rFonts w:ascii="Arial" w:hAnsi="Arial" w:cs="Arial"/>
          <w:b/>
          <w:sz w:val="20"/>
          <w:szCs w:val="20"/>
          <w:lang w:val="tr-TR"/>
        </w:rPr>
        <w:t>.</w:t>
      </w:r>
      <w:r w:rsidR="000C7F4B">
        <w:rPr>
          <w:rFonts w:ascii="Arial" w:hAnsi="Arial" w:cs="Arial"/>
          <w:b/>
          <w:sz w:val="20"/>
          <w:szCs w:val="20"/>
          <w:lang w:val="tr-TR"/>
        </w:rPr>
        <w:t>30</w:t>
      </w:r>
      <w:r>
        <w:rPr>
          <w:rFonts w:ascii="Arial" w:hAnsi="Arial" w:cs="Arial"/>
          <w:b/>
          <w:sz w:val="20"/>
          <w:szCs w:val="20"/>
          <w:lang w:val="tr-TR"/>
        </w:rPr>
        <w:t>6</w:t>
      </w:r>
      <w:r w:rsidR="00D36BD9" w:rsidRPr="003526D0">
        <w:rPr>
          <w:rFonts w:ascii="Arial" w:hAnsi="Arial" w:cs="Arial"/>
          <w:b/>
          <w:sz w:val="20"/>
          <w:szCs w:val="20"/>
          <w:lang w:val="tr-TR"/>
        </w:rPr>
        <w:t>.</w:t>
      </w:r>
      <w:r>
        <w:rPr>
          <w:rFonts w:ascii="Arial" w:hAnsi="Arial" w:cs="Arial"/>
          <w:b/>
          <w:sz w:val="20"/>
          <w:szCs w:val="20"/>
          <w:lang w:val="tr-TR"/>
        </w:rPr>
        <w:t>486</w:t>
      </w:r>
      <w:r w:rsidR="00323CCE" w:rsidRPr="003526D0">
        <w:rPr>
          <w:rFonts w:ascii="Arial" w:hAnsi="Arial" w:cs="Arial"/>
          <w:b/>
          <w:sz w:val="20"/>
          <w:szCs w:val="20"/>
          <w:lang w:val="tr-TR"/>
        </w:rPr>
        <w:t xml:space="preserve"> olmuştur.</w:t>
      </w:r>
    </w:p>
    <w:p w:rsidR="00323EE8" w:rsidRPr="003526D0" w:rsidRDefault="00323EE8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2F2922" w:rsidRPr="003526D0" w:rsidRDefault="00EC2BDB" w:rsidP="004B39FB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Toplam ç</w:t>
      </w:r>
      <w:r w:rsidR="00F578C6" w:rsidRPr="003526D0">
        <w:rPr>
          <w:rFonts w:ascii="Arial" w:hAnsi="Arial" w:cs="Arial"/>
          <w:sz w:val="20"/>
          <w:szCs w:val="20"/>
          <w:lang w:val="tr-TR"/>
        </w:rPr>
        <w:t xml:space="preserve">alışanların </w:t>
      </w:r>
      <w:r w:rsidR="001C05D5" w:rsidRPr="003526D0">
        <w:rPr>
          <w:rFonts w:ascii="Arial" w:hAnsi="Arial" w:cs="Arial"/>
          <w:sz w:val="20"/>
          <w:szCs w:val="20"/>
          <w:lang w:val="tr-TR"/>
        </w:rPr>
        <w:t>%</w:t>
      </w:r>
      <w:r w:rsidR="00257E1B">
        <w:rPr>
          <w:rFonts w:ascii="Arial" w:hAnsi="Arial" w:cs="Arial"/>
          <w:sz w:val="20"/>
          <w:szCs w:val="20"/>
          <w:lang w:val="tr-TR"/>
        </w:rPr>
        <w:t>5</w:t>
      </w:r>
      <w:r w:rsidR="00D81A6F" w:rsidRPr="003526D0">
        <w:rPr>
          <w:rFonts w:ascii="Arial" w:hAnsi="Arial" w:cs="Arial"/>
          <w:sz w:val="20"/>
          <w:szCs w:val="20"/>
          <w:lang w:val="tr-TR"/>
        </w:rPr>
        <w:t>,</w:t>
      </w:r>
      <w:r w:rsidR="00E2712F">
        <w:rPr>
          <w:rFonts w:ascii="Arial" w:hAnsi="Arial" w:cs="Arial"/>
          <w:sz w:val="20"/>
          <w:szCs w:val="20"/>
          <w:lang w:val="tr-TR"/>
        </w:rPr>
        <w:t>2</w:t>
      </w:r>
      <w:r w:rsidR="00D81A6F" w:rsidRPr="003526D0">
        <w:rPr>
          <w:rFonts w:ascii="Arial" w:hAnsi="Arial" w:cs="Arial"/>
          <w:sz w:val="20"/>
          <w:szCs w:val="20"/>
          <w:lang w:val="tr-TR"/>
        </w:rPr>
        <w:t>’</w:t>
      </w:r>
      <w:r w:rsidR="00E2712F">
        <w:rPr>
          <w:rFonts w:ascii="Arial" w:hAnsi="Arial" w:cs="Arial"/>
          <w:sz w:val="20"/>
          <w:szCs w:val="20"/>
          <w:lang w:val="tr-TR"/>
        </w:rPr>
        <w:t>si</w:t>
      </w:r>
      <w:r w:rsidR="00D81A6F" w:rsidRPr="003526D0">
        <w:rPr>
          <w:rFonts w:ascii="Arial" w:hAnsi="Arial" w:cs="Arial"/>
          <w:sz w:val="20"/>
          <w:szCs w:val="20"/>
          <w:lang w:val="tr-TR"/>
        </w:rPr>
        <w:t xml:space="preserve"> 1-9 </w:t>
      </w:r>
      <w:r w:rsidR="002F2922" w:rsidRPr="003526D0">
        <w:rPr>
          <w:rFonts w:ascii="Arial" w:hAnsi="Arial" w:cs="Arial"/>
          <w:sz w:val="20"/>
          <w:szCs w:val="20"/>
          <w:lang w:val="tr-TR"/>
        </w:rPr>
        <w:t>çalışan bulunan tesis</w:t>
      </w:r>
      <w:r w:rsidR="00D36BD9" w:rsidRPr="003526D0">
        <w:rPr>
          <w:rFonts w:ascii="Arial" w:hAnsi="Arial" w:cs="Arial"/>
          <w:sz w:val="20"/>
          <w:szCs w:val="20"/>
          <w:lang w:val="tr-TR"/>
        </w:rPr>
        <w:t xml:space="preserve">lerde istihdam edilirken, </w:t>
      </w:r>
      <w:r w:rsidR="0090784C" w:rsidRPr="003526D0">
        <w:rPr>
          <w:rFonts w:ascii="Arial" w:hAnsi="Arial" w:cs="Arial"/>
          <w:sz w:val="20"/>
          <w:szCs w:val="20"/>
          <w:lang w:val="tr-TR"/>
        </w:rPr>
        <w:t>%</w:t>
      </w:r>
      <w:r w:rsidR="00257E1B">
        <w:rPr>
          <w:rFonts w:ascii="Arial" w:hAnsi="Arial" w:cs="Arial"/>
          <w:sz w:val="20"/>
          <w:szCs w:val="20"/>
          <w:lang w:val="tr-TR"/>
        </w:rPr>
        <w:t>22</w:t>
      </w:r>
      <w:r w:rsidR="00D81A6F" w:rsidRPr="003526D0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3</w:t>
      </w:r>
      <w:r w:rsidR="00D81A6F"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ü</w:t>
      </w:r>
      <w:r w:rsidR="000E236C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A52187" w:rsidRPr="003526D0">
        <w:rPr>
          <w:rFonts w:ascii="Arial" w:hAnsi="Arial" w:cs="Arial"/>
          <w:sz w:val="20"/>
          <w:szCs w:val="20"/>
          <w:lang w:val="tr-TR"/>
        </w:rPr>
        <w:br/>
      </w:r>
      <w:r w:rsidR="000E236C" w:rsidRPr="003526D0">
        <w:rPr>
          <w:rFonts w:ascii="Arial" w:hAnsi="Arial" w:cs="Arial"/>
          <w:sz w:val="20"/>
          <w:szCs w:val="20"/>
          <w:lang w:val="tr-TR"/>
        </w:rPr>
        <w:t>1</w:t>
      </w:r>
      <w:r w:rsidR="001C05D5" w:rsidRPr="003526D0">
        <w:rPr>
          <w:rFonts w:ascii="Arial" w:hAnsi="Arial" w:cs="Arial"/>
          <w:sz w:val="20"/>
          <w:szCs w:val="20"/>
          <w:lang w:val="tr-TR"/>
        </w:rPr>
        <w:t>0-49, %</w:t>
      </w:r>
      <w:r w:rsidR="00257E1B">
        <w:rPr>
          <w:rFonts w:ascii="Arial" w:hAnsi="Arial" w:cs="Arial"/>
          <w:sz w:val="20"/>
          <w:szCs w:val="20"/>
          <w:lang w:val="tr-TR"/>
        </w:rPr>
        <w:t>13</w:t>
      </w:r>
      <w:r w:rsidR="00D81A6F" w:rsidRPr="003526D0">
        <w:rPr>
          <w:rFonts w:ascii="Arial" w:hAnsi="Arial" w:cs="Arial"/>
          <w:sz w:val="20"/>
          <w:szCs w:val="20"/>
          <w:lang w:val="tr-TR"/>
        </w:rPr>
        <w:t>,</w:t>
      </w:r>
      <w:r w:rsidR="00E2712F">
        <w:rPr>
          <w:rFonts w:ascii="Arial" w:hAnsi="Arial" w:cs="Arial"/>
          <w:sz w:val="20"/>
          <w:szCs w:val="20"/>
          <w:lang w:val="tr-TR"/>
        </w:rPr>
        <w:t>6</w:t>
      </w:r>
      <w:r w:rsidR="00D81A6F" w:rsidRPr="003526D0">
        <w:rPr>
          <w:rFonts w:ascii="Arial" w:hAnsi="Arial" w:cs="Arial"/>
          <w:sz w:val="20"/>
          <w:szCs w:val="20"/>
          <w:lang w:val="tr-TR"/>
        </w:rPr>
        <w:t>’</w:t>
      </w:r>
      <w:r w:rsidR="00257E1B">
        <w:rPr>
          <w:rFonts w:ascii="Arial" w:hAnsi="Arial" w:cs="Arial"/>
          <w:sz w:val="20"/>
          <w:szCs w:val="20"/>
          <w:lang w:val="tr-TR"/>
        </w:rPr>
        <w:t>s</w:t>
      </w:r>
      <w:r w:rsidR="0002322C">
        <w:rPr>
          <w:rFonts w:ascii="Arial" w:hAnsi="Arial" w:cs="Arial"/>
          <w:sz w:val="20"/>
          <w:szCs w:val="20"/>
          <w:lang w:val="tr-TR"/>
        </w:rPr>
        <w:t>ı</w:t>
      </w:r>
      <w:r w:rsidR="00D81A6F" w:rsidRPr="003526D0">
        <w:rPr>
          <w:rFonts w:ascii="Arial" w:hAnsi="Arial" w:cs="Arial"/>
          <w:sz w:val="20"/>
          <w:szCs w:val="20"/>
          <w:lang w:val="tr-TR"/>
        </w:rPr>
        <w:t xml:space="preserve"> 50-99, </w:t>
      </w:r>
      <w:r w:rsidR="00D36BD9" w:rsidRPr="003526D0">
        <w:rPr>
          <w:rFonts w:ascii="Arial" w:hAnsi="Arial" w:cs="Arial"/>
          <w:sz w:val="20"/>
          <w:szCs w:val="20"/>
          <w:lang w:val="tr-TR"/>
        </w:rPr>
        <w:t>%</w:t>
      </w:r>
      <w:r w:rsidR="00257E1B">
        <w:rPr>
          <w:rFonts w:ascii="Arial" w:hAnsi="Arial" w:cs="Arial"/>
          <w:sz w:val="20"/>
          <w:szCs w:val="20"/>
          <w:lang w:val="tr-TR"/>
        </w:rPr>
        <w:t>22</w:t>
      </w:r>
      <w:r w:rsidR="00D36BD9" w:rsidRPr="003526D0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3</w:t>
      </w:r>
      <w:r w:rsidR="00F578C6"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ü</w:t>
      </w:r>
      <w:r w:rsidR="002F2922" w:rsidRPr="003526D0">
        <w:rPr>
          <w:rFonts w:ascii="Arial" w:hAnsi="Arial" w:cs="Arial"/>
          <w:sz w:val="20"/>
          <w:szCs w:val="20"/>
          <w:lang w:val="tr-TR"/>
        </w:rPr>
        <w:t xml:space="preserve"> 100-249</w:t>
      </w:r>
      <w:r w:rsidR="00D81A6F" w:rsidRPr="003526D0">
        <w:rPr>
          <w:rFonts w:ascii="Arial" w:hAnsi="Arial" w:cs="Arial"/>
          <w:sz w:val="20"/>
          <w:szCs w:val="20"/>
          <w:lang w:val="tr-TR"/>
        </w:rPr>
        <w:t>,</w:t>
      </w:r>
      <w:r w:rsidR="00D36BD9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90784C" w:rsidRPr="003526D0">
        <w:rPr>
          <w:rFonts w:ascii="Arial" w:hAnsi="Arial" w:cs="Arial"/>
          <w:sz w:val="20"/>
          <w:szCs w:val="20"/>
          <w:lang w:val="tr-TR"/>
        </w:rPr>
        <w:t>%</w:t>
      </w:r>
      <w:r w:rsidR="00E2712F">
        <w:rPr>
          <w:rFonts w:ascii="Arial" w:hAnsi="Arial" w:cs="Arial"/>
          <w:sz w:val="20"/>
          <w:szCs w:val="20"/>
          <w:lang w:val="tr-TR"/>
        </w:rPr>
        <w:t>36</w:t>
      </w:r>
      <w:r w:rsidR="0090784C" w:rsidRPr="003526D0">
        <w:rPr>
          <w:rFonts w:ascii="Arial" w:hAnsi="Arial" w:cs="Arial"/>
          <w:sz w:val="20"/>
          <w:szCs w:val="20"/>
          <w:lang w:val="tr-TR"/>
        </w:rPr>
        <w:t>,</w:t>
      </w:r>
      <w:r w:rsidR="00E2712F">
        <w:rPr>
          <w:rFonts w:ascii="Arial" w:hAnsi="Arial" w:cs="Arial"/>
          <w:sz w:val="20"/>
          <w:szCs w:val="20"/>
          <w:lang w:val="tr-TR"/>
        </w:rPr>
        <w:t>5</w:t>
      </w:r>
      <w:r w:rsidR="00D81A6F"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i</w:t>
      </w:r>
      <w:r w:rsidR="00D81A6F" w:rsidRPr="003526D0">
        <w:rPr>
          <w:rFonts w:ascii="Arial" w:hAnsi="Arial" w:cs="Arial"/>
          <w:sz w:val="20"/>
          <w:szCs w:val="20"/>
          <w:lang w:val="tr-TR"/>
        </w:rPr>
        <w:t xml:space="preserve"> ise 250 ve daha fazla </w:t>
      </w:r>
      <w:r w:rsidRPr="003526D0">
        <w:rPr>
          <w:rFonts w:ascii="Arial" w:hAnsi="Arial" w:cs="Arial"/>
          <w:sz w:val="20"/>
          <w:szCs w:val="20"/>
          <w:lang w:val="tr-TR"/>
        </w:rPr>
        <w:t>çalışanı</w:t>
      </w:r>
      <w:r w:rsidR="002F2922" w:rsidRPr="003526D0">
        <w:rPr>
          <w:rFonts w:ascii="Arial" w:hAnsi="Arial" w:cs="Arial"/>
          <w:sz w:val="20"/>
          <w:szCs w:val="20"/>
          <w:lang w:val="tr-TR"/>
        </w:rPr>
        <w:t xml:space="preserve"> bulunan tesislerde istihdam edilmektedir.</w:t>
      </w:r>
    </w:p>
    <w:p w:rsidR="002F2922" w:rsidRPr="00532C0E" w:rsidRDefault="002F2922" w:rsidP="009766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532C0E">
        <w:rPr>
          <w:rFonts w:ascii="Arial" w:hAnsi="Arial" w:cs="Arial"/>
          <w:sz w:val="20"/>
          <w:szCs w:val="20"/>
          <w:lang w:val="tr-TR"/>
        </w:rPr>
        <w:t xml:space="preserve">Geçerli Raporlara göre istihdamın en fazla olduğu ilk beş il sırası </w:t>
      </w:r>
      <w:proofErr w:type="gramStart"/>
      <w:r w:rsidRPr="00532C0E">
        <w:rPr>
          <w:rFonts w:ascii="Arial" w:hAnsi="Arial" w:cs="Arial"/>
          <w:sz w:val="20"/>
          <w:szCs w:val="20"/>
          <w:lang w:val="tr-TR"/>
        </w:rPr>
        <w:t>ile</w:t>
      </w:r>
      <w:r w:rsidR="0002322C">
        <w:rPr>
          <w:rFonts w:ascii="Arial" w:hAnsi="Arial" w:cs="Arial"/>
          <w:sz w:val="20"/>
          <w:szCs w:val="20"/>
          <w:lang w:val="tr-TR"/>
        </w:rPr>
        <w:t>;</w:t>
      </w:r>
      <w:proofErr w:type="gramEnd"/>
      <w:r w:rsidRPr="00532C0E">
        <w:rPr>
          <w:rFonts w:ascii="Arial" w:hAnsi="Arial" w:cs="Arial"/>
          <w:sz w:val="20"/>
          <w:szCs w:val="20"/>
          <w:lang w:val="tr-TR"/>
        </w:rPr>
        <w:t xml:space="preserve"> İstanbul (</w:t>
      </w:r>
      <w:r w:rsidR="00976695">
        <w:rPr>
          <w:rFonts w:ascii="Arial" w:hAnsi="Arial" w:cs="Arial"/>
          <w:sz w:val="20"/>
          <w:szCs w:val="20"/>
          <w:lang w:val="tr-TR"/>
        </w:rPr>
        <w:t>704</w:t>
      </w:r>
      <w:r w:rsidR="00FC5BE8" w:rsidRPr="00532C0E">
        <w:rPr>
          <w:rFonts w:ascii="Arial" w:hAnsi="Arial" w:cs="Arial"/>
          <w:sz w:val="20"/>
          <w:szCs w:val="20"/>
          <w:lang w:val="tr-TR"/>
        </w:rPr>
        <w:t>.</w:t>
      </w:r>
      <w:r w:rsidR="00976695">
        <w:rPr>
          <w:rFonts w:ascii="Arial" w:hAnsi="Arial" w:cs="Arial"/>
          <w:sz w:val="20"/>
          <w:szCs w:val="20"/>
          <w:lang w:val="tr-TR"/>
        </w:rPr>
        <w:t>558</w:t>
      </w:r>
      <w:r w:rsidRPr="00532C0E">
        <w:rPr>
          <w:rFonts w:ascii="Arial" w:hAnsi="Arial" w:cs="Arial"/>
          <w:sz w:val="20"/>
          <w:szCs w:val="20"/>
          <w:lang w:val="tr-TR"/>
        </w:rPr>
        <w:t>), Bursa (</w:t>
      </w:r>
      <w:r w:rsidR="00976695">
        <w:rPr>
          <w:rFonts w:ascii="Arial" w:hAnsi="Arial" w:cs="Arial"/>
          <w:sz w:val="20"/>
          <w:szCs w:val="20"/>
          <w:lang w:val="tr-TR"/>
        </w:rPr>
        <w:t>284.256</w:t>
      </w:r>
      <w:r w:rsidRPr="00532C0E">
        <w:rPr>
          <w:rFonts w:ascii="Arial" w:hAnsi="Arial" w:cs="Arial"/>
          <w:sz w:val="20"/>
          <w:szCs w:val="20"/>
          <w:lang w:val="tr-TR"/>
        </w:rPr>
        <w:t>), İzmir (</w:t>
      </w:r>
      <w:r w:rsidR="00976695" w:rsidRPr="00976695">
        <w:rPr>
          <w:rFonts w:ascii="Arial" w:hAnsi="Arial" w:cs="Arial"/>
          <w:sz w:val="20"/>
          <w:szCs w:val="20"/>
          <w:lang w:val="tr-TR"/>
        </w:rPr>
        <w:t>224</w:t>
      </w:r>
      <w:r w:rsidR="00976695">
        <w:rPr>
          <w:rFonts w:ascii="Arial" w:hAnsi="Arial" w:cs="Arial"/>
          <w:sz w:val="20"/>
          <w:szCs w:val="20"/>
          <w:lang w:val="tr-TR"/>
        </w:rPr>
        <w:t>.</w:t>
      </w:r>
      <w:r w:rsidR="00976695" w:rsidRPr="00976695">
        <w:rPr>
          <w:rFonts w:ascii="Arial" w:hAnsi="Arial" w:cs="Arial"/>
          <w:sz w:val="20"/>
          <w:szCs w:val="20"/>
          <w:lang w:val="tr-TR"/>
        </w:rPr>
        <w:t>409</w:t>
      </w:r>
      <w:r w:rsidRPr="00532C0E">
        <w:rPr>
          <w:rFonts w:ascii="Arial" w:hAnsi="Arial" w:cs="Arial"/>
          <w:sz w:val="20"/>
          <w:szCs w:val="20"/>
          <w:lang w:val="tr-TR"/>
        </w:rPr>
        <w:t>), Kocaeli (</w:t>
      </w:r>
      <w:r w:rsidR="00976695" w:rsidRPr="00976695">
        <w:rPr>
          <w:rFonts w:ascii="Arial" w:hAnsi="Arial" w:cs="Arial"/>
          <w:sz w:val="20"/>
          <w:szCs w:val="20"/>
          <w:lang w:val="tr-TR"/>
        </w:rPr>
        <w:t>203</w:t>
      </w:r>
      <w:r w:rsidR="00976695">
        <w:rPr>
          <w:rFonts w:ascii="Arial" w:hAnsi="Arial" w:cs="Arial"/>
          <w:sz w:val="20"/>
          <w:szCs w:val="20"/>
          <w:lang w:val="tr-TR"/>
        </w:rPr>
        <w:t>.</w:t>
      </w:r>
      <w:r w:rsidR="00976695" w:rsidRPr="00976695">
        <w:rPr>
          <w:rFonts w:ascii="Arial" w:hAnsi="Arial" w:cs="Arial"/>
          <w:sz w:val="20"/>
          <w:szCs w:val="20"/>
          <w:lang w:val="tr-TR"/>
        </w:rPr>
        <w:t>528</w:t>
      </w:r>
      <w:r w:rsidRPr="00532C0E">
        <w:rPr>
          <w:rFonts w:ascii="Arial" w:hAnsi="Arial" w:cs="Arial"/>
          <w:sz w:val="20"/>
          <w:szCs w:val="20"/>
          <w:lang w:val="tr-TR"/>
        </w:rPr>
        <w:t>) ve Ankara (</w:t>
      </w:r>
      <w:r w:rsidR="00976695" w:rsidRPr="00976695">
        <w:rPr>
          <w:rFonts w:ascii="Arial" w:hAnsi="Arial" w:cs="Arial"/>
          <w:sz w:val="20"/>
          <w:szCs w:val="20"/>
          <w:lang w:val="tr-TR"/>
        </w:rPr>
        <w:t>177</w:t>
      </w:r>
      <w:r w:rsidR="00976695">
        <w:rPr>
          <w:rFonts w:ascii="Arial" w:hAnsi="Arial" w:cs="Arial"/>
          <w:sz w:val="20"/>
          <w:szCs w:val="20"/>
          <w:lang w:val="tr-TR"/>
        </w:rPr>
        <w:t>.</w:t>
      </w:r>
      <w:r w:rsidR="00976695" w:rsidRPr="00976695">
        <w:rPr>
          <w:rFonts w:ascii="Arial" w:hAnsi="Arial" w:cs="Arial"/>
          <w:sz w:val="20"/>
          <w:szCs w:val="20"/>
          <w:lang w:val="tr-TR"/>
        </w:rPr>
        <w:t>608</w:t>
      </w:r>
      <w:r w:rsidRPr="00532C0E">
        <w:rPr>
          <w:rFonts w:ascii="Arial" w:hAnsi="Arial" w:cs="Arial"/>
          <w:sz w:val="20"/>
          <w:szCs w:val="20"/>
          <w:lang w:val="tr-TR"/>
        </w:rPr>
        <w:t>) olmuştur.</w:t>
      </w:r>
    </w:p>
    <w:p w:rsidR="002F2922" w:rsidRPr="003526D0" w:rsidRDefault="002F2922" w:rsidP="004B39FB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En az çalışan bulunan so</w:t>
      </w:r>
      <w:r w:rsidR="00735D1F" w:rsidRPr="003526D0">
        <w:rPr>
          <w:rFonts w:ascii="Arial" w:hAnsi="Arial" w:cs="Arial"/>
          <w:sz w:val="20"/>
          <w:szCs w:val="20"/>
          <w:lang w:val="tr-TR"/>
        </w:rPr>
        <w:t xml:space="preserve">n beş il sırası </w:t>
      </w:r>
      <w:proofErr w:type="gramStart"/>
      <w:r w:rsidR="00735D1F" w:rsidRPr="003526D0">
        <w:rPr>
          <w:rFonts w:ascii="Arial" w:hAnsi="Arial" w:cs="Arial"/>
          <w:sz w:val="20"/>
          <w:szCs w:val="20"/>
          <w:lang w:val="tr-TR"/>
        </w:rPr>
        <w:t>ile</w:t>
      </w:r>
      <w:r w:rsidR="0002322C">
        <w:rPr>
          <w:rFonts w:ascii="Arial" w:hAnsi="Arial" w:cs="Arial"/>
          <w:sz w:val="20"/>
          <w:szCs w:val="20"/>
          <w:lang w:val="tr-TR"/>
        </w:rPr>
        <w:t>;</w:t>
      </w:r>
      <w:proofErr w:type="gramEnd"/>
      <w:r w:rsidR="00735D1F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9C66B1" w:rsidRPr="003526D0">
        <w:rPr>
          <w:rFonts w:ascii="Arial" w:hAnsi="Arial" w:cs="Arial"/>
          <w:sz w:val="20"/>
          <w:szCs w:val="20"/>
          <w:lang w:val="tr-TR"/>
        </w:rPr>
        <w:t>Bayburt (</w:t>
      </w:r>
      <w:r w:rsidR="009C66B1">
        <w:rPr>
          <w:rFonts w:ascii="Arial" w:hAnsi="Arial" w:cs="Arial"/>
          <w:sz w:val="20"/>
          <w:szCs w:val="20"/>
          <w:lang w:val="tr-TR"/>
        </w:rPr>
        <w:t>374</w:t>
      </w:r>
      <w:r w:rsidR="009C66B1" w:rsidRPr="003526D0">
        <w:rPr>
          <w:rFonts w:ascii="Arial" w:hAnsi="Arial" w:cs="Arial"/>
          <w:sz w:val="20"/>
          <w:szCs w:val="20"/>
          <w:lang w:val="tr-TR"/>
        </w:rPr>
        <w:t>),</w:t>
      </w:r>
      <w:r w:rsidR="009C66B1">
        <w:rPr>
          <w:rFonts w:ascii="Arial" w:hAnsi="Arial" w:cs="Arial"/>
          <w:sz w:val="20"/>
          <w:szCs w:val="20"/>
          <w:lang w:val="tr-TR"/>
        </w:rPr>
        <w:t xml:space="preserve"> </w:t>
      </w:r>
      <w:r w:rsidR="00A03417" w:rsidRPr="003526D0">
        <w:rPr>
          <w:rFonts w:ascii="Arial" w:hAnsi="Arial" w:cs="Arial"/>
          <w:sz w:val="20"/>
          <w:szCs w:val="20"/>
          <w:lang w:val="tr-TR"/>
        </w:rPr>
        <w:t xml:space="preserve">Ardahan </w:t>
      </w:r>
      <w:r w:rsidR="001F473A" w:rsidRPr="003526D0">
        <w:rPr>
          <w:rFonts w:ascii="Arial" w:hAnsi="Arial" w:cs="Arial"/>
          <w:sz w:val="20"/>
          <w:szCs w:val="20"/>
          <w:lang w:val="tr-TR"/>
        </w:rPr>
        <w:t>(</w:t>
      </w:r>
      <w:r w:rsidR="009C66B1">
        <w:rPr>
          <w:rFonts w:ascii="Arial" w:hAnsi="Arial" w:cs="Arial"/>
          <w:sz w:val="20"/>
          <w:szCs w:val="20"/>
          <w:lang w:val="tr-TR"/>
        </w:rPr>
        <w:t>475</w:t>
      </w:r>
      <w:r w:rsidR="001F473A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 w:rsidR="00735D1F" w:rsidRPr="003526D0">
        <w:rPr>
          <w:rFonts w:ascii="Arial" w:hAnsi="Arial" w:cs="Arial"/>
          <w:sz w:val="20"/>
          <w:szCs w:val="20"/>
          <w:lang w:val="tr-TR"/>
        </w:rPr>
        <w:t xml:space="preserve">Hakkâri </w:t>
      </w:r>
      <w:r w:rsidR="007632CE">
        <w:rPr>
          <w:rFonts w:ascii="Arial" w:hAnsi="Arial" w:cs="Arial"/>
          <w:sz w:val="20"/>
          <w:szCs w:val="20"/>
          <w:lang w:val="tr-TR"/>
        </w:rPr>
        <w:t>(4</w:t>
      </w:r>
      <w:r w:rsidR="009C66B1">
        <w:rPr>
          <w:rFonts w:ascii="Arial" w:hAnsi="Arial" w:cs="Arial"/>
          <w:sz w:val="20"/>
          <w:szCs w:val="20"/>
          <w:lang w:val="tr-TR"/>
        </w:rPr>
        <w:t>92</w:t>
      </w:r>
      <w:r w:rsidR="007E591C" w:rsidRPr="003526D0">
        <w:rPr>
          <w:rFonts w:ascii="Arial" w:hAnsi="Arial" w:cs="Arial"/>
          <w:sz w:val="20"/>
          <w:szCs w:val="20"/>
          <w:lang w:val="tr-TR"/>
        </w:rPr>
        <w:t>)</w:t>
      </w:r>
      <w:r w:rsidR="00D87C5B" w:rsidRPr="003526D0">
        <w:rPr>
          <w:rFonts w:ascii="Arial" w:hAnsi="Arial" w:cs="Arial"/>
          <w:sz w:val="20"/>
          <w:szCs w:val="20"/>
          <w:lang w:val="tr-TR"/>
        </w:rPr>
        <w:t>,</w:t>
      </w:r>
      <w:r w:rsidR="0095714C">
        <w:rPr>
          <w:rFonts w:ascii="Arial" w:hAnsi="Arial" w:cs="Arial"/>
          <w:sz w:val="20"/>
          <w:szCs w:val="20"/>
          <w:lang w:val="tr-TR"/>
        </w:rPr>
        <w:t xml:space="preserve"> </w:t>
      </w:r>
      <w:r w:rsidR="00D05112" w:rsidRPr="003526D0">
        <w:rPr>
          <w:rFonts w:ascii="Arial" w:hAnsi="Arial" w:cs="Arial"/>
          <w:sz w:val="20"/>
          <w:szCs w:val="20"/>
          <w:lang w:val="tr-TR"/>
        </w:rPr>
        <w:t>Tunceli</w:t>
      </w:r>
      <w:r w:rsidR="00A03417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Pr="003526D0">
        <w:rPr>
          <w:rFonts w:ascii="Arial" w:hAnsi="Arial" w:cs="Arial"/>
          <w:sz w:val="20"/>
          <w:szCs w:val="20"/>
          <w:lang w:val="tr-TR"/>
        </w:rPr>
        <w:t>(</w:t>
      </w:r>
      <w:r w:rsidR="009C66B1">
        <w:rPr>
          <w:rFonts w:ascii="Arial" w:hAnsi="Arial" w:cs="Arial"/>
          <w:sz w:val="20"/>
          <w:szCs w:val="20"/>
          <w:lang w:val="tr-TR"/>
        </w:rPr>
        <w:t>579</w:t>
      </w:r>
      <w:r w:rsidRPr="003526D0">
        <w:rPr>
          <w:rFonts w:ascii="Arial" w:hAnsi="Arial" w:cs="Arial"/>
          <w:sz w:val="20"/>
          <w:szCs w:val="20"/>
          <w:lang w:val="tr-TR"/>
        </w:rPr>
        <w:t>)</w:t>
      </w:r>
      <w:r w:rsidR="007632CE">
        <w:rPr>
          <w:rFonts w:ascii="Arial" w:hAnsi="Arial" w:cs="Arial"/>
          <w:sz w:val="20"/>
          <w:szCs w:val="20"/>
          <w:lang w:val="tr-TR"/>
        </w:rPr>
        <w:t xml:space="preserve">, </w:t>
      </w:r>
      <w:r w:rsidR="007632CE" w:rsidRPr="003526D0">
        <w:rPr>
          <w:rFonts w:ascii="Arial" w:hAnsi="Arial" w:cs="Arial"/>
          <w:sz w:val="20"/>
          <w:szCs w:val="20"/>
          <w:lang w:val="tr-TR"/>
        </w:rPr>
        <w:t>Iğdır (</w:t>
      </w:r>
      <w:r w:rsidR="007632CE">
        <w:rPr>
          <w:rFonts w:ascii="Arial" w:hAnsi="Arial" w:cs="Arial"/>
          <w:sz w:val="20"/>
          <w:szCs w:val="20"/>
          <w:lang w:val="tr-TR"/>
        </w:rPr>
        <w:t>7</w:t>
      </w:r>
      <w:r w:rsidR="009C66B1">
        <w:rPr>
          <w:rFonts w:ascii="Arial" w:hAnsi="Arial" w:cs="Arial"/>
          <w:sz w:val="20"/>
          <w:szCs w:val="20"/>
          <w:lang w:val="tr-TR"/>
        </w:rPr>
        <w:t>77</w:t>
      </w:r>
      <w:r w:rsidR="007632CE" w:rsidRPr="003526D0">
        <w:rPr>
          <w:rFonts w:ascii="Arial" w:hAnsi="Arial" w:cs="Arial"/>
          <w:sz w:val="20"/>
          <w:szCs w:val="20"/>
          <w:lang w:val="tr-TR"/>
        </w:rPr>
        <w:t>)</w:t>
      </w:r>
      <w:r w:rsidR="007632CE">
        <w:rPr>
          <w:rFonts w:ascii="Arial" w:hAnsi="Arial" w:cs="Arial"/>
          <w:sz w:val="20"/>
          <w:szCs w:val="20"/>
          <w:lang w:val="tr-TR"/>
        </w:rPr>
        <w:t>’</w:t>
      </w:r>
      <w:proofErr w:type="spellStart"/>
      <w:r w:rsidR="007632CE">
        <w:rPr>
          <w:rFonts w:ascii="Arial" w:hAnsi="Arial" w:cs="Arial"/>
          <w:sz w:val="20"/>
          <w:szCs w:val="20"/>
          <w:lang w:val="tr-TR"/>
        </w:rPr>
        <w:t>dir</w:t>
      </w:r>
      <w:proofErr w:type="spellEnd"/>
      <w:r w:rsidR="00BB0412" w:rsidRPr="003526D0">
        <w:rPr>
          <w:rFonts w:ascii="Arial" w:hAnsi="Arial" w:cs="Arial"/>
          <w:sz w:val="20"/>
          <w:szCs w:val="20"/>
          <w:lang w:val="tr-TR"/>
        </w:rPr>
        <w:t>.</w:t>
      </w:r>
    </w:p>
    <w:p w:rsidR="00820D05" w:rsidRPr="003526D0" w:rsidRDefault="006673CF" w:rsidP="00E04176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201</w:t>
      </w:r>
      <w:r w:rsidR="00E86FAC">
        <w:rPr>
          <w:rFonts w:ascii="Arial" w:hAnsi="Arial" w:cs="Arial"/>
          <w:sz w:val="20"/>
          <w:szCs w:val="20"/>
          <w:lang w:val="tr-TR"/>
        </w:rPr>
        <w:t>9-2020</w:t>
      </w:r>
      <w:r w:rsidR="00820D05" w:rsidRPr="003526D0">
        <w:rPr>
          <w:rFonts w:ascii="Arial" w:hAnsi="Arial" w:cs="Arial"/>
          <w:sz w:val="20"/>
          <w:szCs w:val="20"/>
          <w:lang w:val="tr-TR"/>
        </w:rPr>
        <w:t xml:space="preserve"> döneminde </w:t>
      </w:r>
      <w:r w:rsidR="004B39FB" w:rsidRPr="003526D0">
        <w:rPr>
          <w:rFonts w:ascii="Arial" w:hAnsi="Arial" w:cs="Arial"/>
          <w:sz w:val="20"/>
          <w:szCs w:val="20"/>
          <w:lang w:val="tr-TR"/>
        </w:rPr>
        <w:t xml:space="preserve">KOBİ ölçeğindeki </w:t>
      </w:r>
      <w:r w:rsidR="00820D05" w:rsidRPr="003526D0">
        <w:rPr>
          <w:rFonts w:ascii="Arial" w:hAnsi="Arial" w:cs="Arial"/>
          <w:sz w:val="20"/>
          <w:szCs w:val="20"/>
          <w:lang w:val="tr-TR"/>
        </w:rPr>
        <w:t xml:space="preserve">sanayi </w:t>
      </w:r>
      <w:r w:rsidR="004B39FB" w:rsidRPr="003526D0">
        <w:rPr>
          <w:rFonts w:ascii="Arial" w:hAnsi="Arial" w:cs="Arial"/>
          <w:sz w:val="20"/>
          <w:szCs w:val="20"/>
          <w:lang w:val="tr-TR"/>
        </w:rPr>
        <w:t>firmaların</w:t>
      </w:r>
      <w:r w:rsidR="00820D05" w:rsidRPr="003526D0">
        <w:rPr>
          <w:rFonts w:ascii="Arial" w:hAnsi="Arial" w:cs="Arial"/>
          <w:sz w:val="20"/>
          <w:szCs w:val="20"/>
          <w:lang w:val="tr-TR"/>
        </w:rPr>
        <w:t>ın</w:t>
      </w:r>
      <w:r w:rsidR="004B39FB" w:rsidRPr="003526D0">
        <w:rPr>
          <w:rFonts w:ascii="Arial" w:hAnsi="Arial" w:cs="Arial"/>
          <w:sz w:val="20"/>
          <w:szCs w:val="20"/>
          <w:lang w:val="tr-TR"/>
        </w:rPr>
        <w:t xml:space="preserve"> istihdamdaki payı </w:t>
      </w:r>
      <w:r w:rsidR="00820D05" w:rsidRPr="003526D0">
        <w:rPr>
          <w:rFonts w:ascii="Arial" w:hAnsi="Arial" w:cs="Arial"/>
          <w:sz w:val="20"/>
          <w:szCs w:val="20"/>
          <w:lang w:val="tr-TR"/>
        </w:rPr>
        <w:t>%6</w:t>
      </w:r>
      <w:r w:rsidR="00396CE8">
        <w:rPr>
          <w:rFonts w:ascii="Arial" w:hAnsi="Arial" w:cs="Arial"/>
          <w:sz w:val="20"/>
          <w:szCs w:val="20"/>
          <w:lang w:val="tr-TR"/>
        </w:rPr>
        <w:t>4</w:t>
      </w:r>
      <w:r w:rsidR="00E41C5E"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t</w:t>
      </w:r>
      <w:r w:rsidR="003F24BD" w:rsidRPr="003526D0">
        <w:rPr>
          <w:rFonts w:ascii="Arial" w:hAnsi="Arial" w:cs="Arial"/>
          <w:sz w:val="20"/>
          <w:szCs w:val="20"/>
          <w:lang w:val="tr-TR"/>
        </w:rPr>
        <w:t>e</w:t>
      </w:r>
      <w:r w:rsidR="00820D05" w:rsidRPr="003526D0">
        <w:rPr>
          <w:rFonts w:ascii="Arial" w:hAnsi="Arial" w:cs="Arial"/>
          <w:sz w:val="20"/>
          <w:szCs w:val="20"/>
          <w:lang w:val="tr-TR"/>
        </w:rPr>
        <w:t>n %6</w:t>
      </w:r>
      <w:r w:rsidR="003977D7">
        <w:rPr>
          <w:rFonts w:ascii="Arial" w:hAnsi="Arial" w:cs="Arial"/>
          <w:sz w:val="20"/>
          <w:szCs w:val="20"/>
          <w:lang w:val="tr-TR"/>
        </w:rPr>
        <w:t>3</w:t>
      </w:r>
      <w:r w:rsidR="00820D05" w:rsidRPr="003526D0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5</w:t>
      </w:r>
      <w:r w:rsidR="00820D05" w:rsidRPr="003526D0">
        <w:rPr>
          <w:rFonts w:ascii="Arial" w:hAnsi="Arial" w:cs="Arial"/>
          <w:sz w:val="20"/>
          <w:szCs w:val="20"/>
          <w:lang w:val="tr-TR"/>
        </w:rPr>
        <w:t>’</w:t>
      </w:r>
      <w:r w:rsidR="0002322C">
        <w:rPr>
          <w:rFonts w:ascii="Arial" w:hAnsi="Arial" w:cs="Arial"/>
          <w:sz w:val="20"/>
          <w:szCs w:val="20"/>
          <w:lang w:val="tr-TR"/>
        </w:rPr>
        <w:t>e</w:t>
      </w:r>
      <w:r w:rsidR="00820D05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396CE8">
        <w:rPr>
          <w:rFonts w:ascii="Arial" w:hAnsi="Arial" w:cs="Arial"/>
          <w:sz w:val="20"/>
          <w:szCs w:val="20"/>
          <w:lang w:val="tr-TR"/>
        </w:rPr>
        <w:t>düşer</w:t>
      </w:r>
      <w:r w:rsidR="003F24BD" w:rsidRPr="003526D0">
        <w:rPr>
          <w:rFonts w:ascii="Arial" w:hAnsi="Arial" w:cs="Arial"/>
          <w:sz w:val="20"/>
          <w:szCs w:val="20"/>
          <w:lang w:val="tr-TR"/>
        </w:rPr>
        <w:t>ken</w:t>
      </w:r>
      <w:r w:rsidR="00820D05" w:rsidRPr="003526D0">
        <w:rPr>
          <w:rFonts w:ascii="Arial" w:hAnsi="Arial" w:cs="Arial"/>
          <w:sz w:val="20"/>
          <w:szCs w:val="20"/>
          <w:lang w:val="tr-TR"/>
        </w:rPr>
        <w:t>, Büyük firmaların payı %</w:t>
      </w:r>
      <w:r w:rsidR="003F24BD" w:rsidRPr="003526D0">
        <w:rPr>
          <w:rFonts w:ascii="Arial" w:hAnsi="Arial" w:cs="Arial"/>
          <w:sz w:val="20"/>
          <w:szCs w:val="20"/>
          <w:lang w:val="tr-TR"/>
        </w:rPr>
        <w:t>3</w:t>
      </w:r>
      <w:r w:rsidR="0002322C">
        <w:rPr>
          <w:rFonts w:ascii="Arial" w:hAnsi="Arial" w:cs="Arial"/>
          <w:sz w:val="20"/>
          <w:szCs w:val="20"/>
          <w:lang w:val="tr-TR"/>
        </w:rPr>
        <w:t>6</w:t>
      </w:r>
      <w:r w:rsidR="00E41C5E" w:rsidRPr="003526D0">
        <w:rPr>
          <w:rFonts w:ascii="Arial" w:hAnsi="Arial" w:cs="Arial"/>
          <w:sz w:val="20"/>
          <w:szCs w:val="20"/>
          <w:lang w:val="tr-TR"/>
        </w:rPr>
        <w:t>’</w:t>
      </w:r>
      <w:r w:rsidR="003977D7">
        <w:rPr>
          <w:rFonts w:ascii="Arial" w:hAnsi="Arial" w:cs="Arial"/>
          <w:sz w:val="20"/>
          <w:szCs w:val="20"/>
          <w:lang w:val="tr-TR"/>
        </w:rPr>
        <w:t>da</w:t>
      </w:r>
      <w:r w:rsidR="00820D05" w:rsidRPr="003526D0">
        <w:rPr>
          <w:rFonts w:ascii="Arial" w:hAnsi="Arial" w:cs="Arial"/>
          <w:sz w:val="20"/>
          <w:szCs w:val="20"/>
          <w:lang w:val="tr-TR"/>
        </w:rPr>
        <w:t>n %3</w:t>
      </w:r>
      <w:r w:rsidR="003977D7">
        <w:rPr>
          <w:rFonts w:ascii="Arial" w:hAnsi="Arial" w:cs="Arial"/>
          <w:sz w:val="20"/>
          <w:szCs w:val="20"/>
          <w:lang w:val="tr-TR"/>
        </w:rPr>
        <w:t>6</w:t>
      </w:r>
      <w:r w:rsidR="00820D05" w:rsidRPr="003526D0">
        <w:rPr>
          <w:rFonts w:ascii="Arial" w:hAnsi="Arial" w:cs="Arial"/>
          <w:sz w:val="20"/>
          <w:szCs w:val="20"/>
          <w:lang w:val="tr-TR"/>
        </w:rPr>
        <w:t>,</w:t>
      </w:r>
      <w:r w:rsidR="003977D7">
        <w:rPr>
          <w:rFonts w:ascii="Arial" w:hAnsi="Arial" w:cs="Arial"/>
          <w:sz w:val="20"/>
          <w:szCs w:val="20"/>
          <w:lang w:val="tr-TR"/>
        </w:rPr>
        <w:t>5</w:t>
      </w:r>
      <w:r w:rsidR="00820D05" w:rsidRPr="003526D0">
        <w:rPr>
          <w:rFonts w:ascii="Arial" w:hAnsi="Arial" w:cs="Arial"/>
          <w:sz w:val="20"/>
          <w:szCs w:val="20"/>
          <w:lang w:val="tr-TR"/>
        </w:rPr>
        <w:t>’</w:t>
      </w:r>
      <w:r w:rsidR="003977D7">
        <w:rPr>
          <w:rFonts w:ascii="Arial" w:hAnsi="Arial" w:cs="Arial"/>
          <w:sz w:val="20"/>
          <w:szCs w:val="20"/>
          <w:lang w:val="tr-TR"/>
        </w:rPr>
        <w:t>e</w:t>
      </w:r>
      <w:r w:rsidR="00820D05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396CE8">
        <w:rPr>
          <w:rFonts w:ascii="Arial" w:hAnsi="Arial" w:cs="Arial"/>
          <w:sz w:val="20"/>
          <w:szCs w:val="20"/>
          <w:lang w:val="tr-TR"/>
        </w:rPr>
        <w:t>yükselmiştir</w:t>
      </w:r>
      <w:r w:rsidR="00820D05" w:rsidRPr="003526D0">
        <w:rPr>
          <w:rFonts w:ascii="Arial" w:hAnsi="Arial" w:cs="Arial"/>
          <w:sz w:val="20"/>
          <w:szCs w:val="20"/>
          <w:lang w:val="tr-TR"/>
        </w:rPr>
        <w:t>.</w:t>
      </w:r>
    </w:p>
    <w:p w:rsidR="006019CC" w:rsidRPr="003526D0" w:rsidRDefault="00C818B6" w:rsidP="006019CC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2019 ile karşılaştırıldığında 2020</w:t>
      </w:r>
      <w:r w:rsidR="006019CC" w:rsidRPr="003526D0">
        <w:rPr>
          <w:rFonts w:ascii="Arial" w:hAnsi="Arial" w:cs="Arial"/>
          <w:sz w:val="20"/>
          <w:szCs w:val="20"/>
          <w:lang w:val="tr-TR"/>
        </w:rPr>
        <w:t>’d</w:t>
      </w:r>
      <w:r w:rsidR="00D40B5A" w:rsidRPr="003526D0">
        <w:rPr>
          <w:rFonts w:ascii="Arial" w:hAnsi="Arial" w:cs="Arial"/>
          <w:sz w:val="20"/>
          <w:szCs w:val="20"/>
          <w:lang w:val="tr-TR"/>
        </w:rPr>
        <w:t>e</w:t>
      </w:r>
      <w:r w:rsidR="006019CC" w:rsidRPr="003526D0">
        <w:rPr>
          <w:rFonts w:ascii="Arial" w:hAnsi="Arial" w:cs="Arial"/>
          <w:sz w:val="20"/>
          <w:szCs w:val="20"/>
          <w:lang w:val="tr-TR"/>
        </w:rPr>
        <w:t xml:space="preserve"> sanayide en çok istihdam artışı sağlayan şehirler; </w:t>
      </w:r>
      <w:r>
        <w:rPr>
          <w:rFonts w:ascii="Arial" w:hAnsi="Arial" w:cs="Arial"/>
          <w:sz w:val="20"/>
          <w:szCs w:val="20"/>
          <w:lang w:val="tr-TR"/>
        </w:rPr>
        <w:t>Ardahan</w:t>
      </w:r>
      <w:r w:rsidR="0002322C">
        <w:rPr>
          <w:rFonts w:ascii="Arial" w:hAnsi="Arial" w:cs="Arial"/>
          <w:sz w:val="20"/>
          <w:szCs w:val="20"/>
          <w:lang w:val="tr-TR"/>
        </w:rPr>
        <w:t xml:space="preserve"> </w:t>
      </w:r>
      <w:r w:rsidR="007433EE">
        <w:rPr>
          <w:rFonts w:ascii="Arial" w:hAnsi="Arial" w:cs="Arial"/>
          <w:sz w:val="20"/>
          <w:szCs w:val="20"/>
          <w:lang w:val="tr-TR"/>
        </w:rPr>
        <w:t>(%</w:t>
      </w:r>
      <w:r>
        <w:rPr>
          <w:rFonts w:ascii="Arial" w:hAnsi="Arial" w:cs="Arial"/>
          <w:sz w:val="20"/>
          <w:szCs w:val="20"/>
          <w:lang w:val="tr-TR"/>
        </w:rPr>
        <w:t>75</w:t>
      </w:r>
      <w:r w:rsidR="007433EE">
        <w:rPr>
          <w:rFonts w:ascii="Arial" w:hAnsi="Arial" w:cs="Arial"/>
          <w:sz w:val="20"/>
          <w:szCs w:val="20"/>
          <w:lang w:val="tr-TR"/>
        </w:rPr>
        <w:t>,</w:t>
      </w:r>
      <w:r>
        <w:rPr>
          <w:rFonts w:ascii="Arial" w:hAnsi="Arial" w:cs="Arial"/>
          <w:sz w:val="20"/>
          <w:szCs w:val="20"/>
          <w:lang w:val="tr-TR"/>
        </w:rPr>
        <w:t>9</w:t>
      </w:r>
      <w:r w:rsidR="007433EE">
        <w:rPr>
          <w:rFonts w:ascii="Arial" w:hAnsi="Arial" w:cs="Arial"/>
          <w:sz w:val="20"/>
          <w:szCs w:val="20"/>
          <w:lang w:val="tr-TR"/>
        </w:rPr>
        <w:t xml:space="preserve">), </w:t>
      </w:r>
      <w:r>
        <w:rPr>
          <w:rFonts w:ascii="Arial" w:hAnsi="Arial" w:cs="Arial"/>
          <w:sz w:val="20"/>
          <w:szCs w:val="20"/>
          <w:lang w:val="tr-TR"/>
        </w:rPr>
        <w:t>Yalova</w:t>
      </w:r>
      <w:r w:rsidR="0002322C">
        <w:rPr>
          <w:rFonts w:ascii="Arial" w:hAnsi="Arial" w:cs="Arial"/>
          <w:sz w:val="20"/>
          <w:szCs w:val="20"/>
          <w:lang w:val="tr-TR"/>
        </w:rPr>
        <w:t xml:space="preserve"> </w:t>
      </w:r>
      <w:r w:rsidR="007433EE">
        <w:rPr>
          <w:rFonts w:ascii="Arial" w:hAnsi="Arial" w:cs="Arial"/>
          <w:sz w:val="20"/>
          <w:szCs w:val="20"/>
          <w:lang w:val="tr-TR"/>
        </w:rPr>
        <w:t>(%</w:t>
      </w:r>
      <w:r>
        <w:rPr>
          <w:rFonts w:ascii="Arial" w:hAnsi="Arial" w:cs="Arial"/>
          <w:sz w:val="20"/>
          <w:szCs w:val="20"/>
          <w:lang w:val="tr-TR"/>
        </w:rPr>
        <w:t>52</w:t>
      </w:r>
      <w:r w:rsidR="007433EE">
        <w:rPr>
          <w:rFonts w:ascii="Arial" w:hAnsi="Arial" w:cs="Arial"/>
          <w:sz w:val="20"/>
          <w:szCs w:val="20"/>
          <w:lang w:val="tr-TR"/>
        </w:rPr>
        <w:t>,</w:t>
      </w:r>
      <w:r w:rsidR="0002322C">
        <w:rPr>
          <w:rFonts w:ascii="Arial" w:hAnsi="Arial" w:cs="Arial"/>
          <w:sz w:val="20"/>
          <w:szCs w:val="20"/>
          <w:lang w:val="tr-TR"/>
        </w:rPr>
        <w:t>1</w:t>
      </w:r>
      <w:r w:rsidR="007433EE">
        <w:rPr>
          <w:rFonts w:ascii="Arial" w:hAnsi="Arial" w:cs="Arial"/>
          <w:sz w:val="20"/>
          <w:szCs w:val="20"/>
          <w:lang w:val="tr-TR"/>
        </w:rPr>
        <w:t xml:space="preserve">), </w:t>
      </w:r>
      <w:r>
        <w:rPr>
          <w:rFonts w:ascii="Arial" w:hAnsi="Arial" w:cs="Arial"/>
          <w:sz w:val="20"/>
          <w:szCs w:val="20"/>
          <w:lang w:val="tr-TR"/>
        </w:rPr>
        <w:t>Bingöl</w:t>
      </w:r>
      <w:r w:rsidR="0002322C">
        <w:rPr>
          <w:rFonts w:ascii="Arial" w:hAnsi="Arial" w:cs="Arial"/>
          <w:sz w:val="20"/>
          <w:szCs w:val="20"/>
          <w:lang w:val="tr-TR"/>
        </w:rPr>
        <w:t xml:space="preserve"> </w:t>
      </w:r>
      <w:r w:rsidR="007433EE">
        <w:rPr>
          <w:rFonts w:ascii="Arial" w:hAnsi="Arial" w:cs="Arial"/>
          <w:sz w:val="20"/>
          <w:szCs w:val="20"/>
          <w:lang w:val="tr-TR"/>
        </w:rPr>
        <w:t>(%</w:t>
      </w:r>
      <w:r>
        <w:rPr>
          <w:rFonts w:ascii="Arial" w:hAnsi="Arial" w:cs="Arial"/>
          <w:sz w:val="20"/>
          <w:szCs w:val="20"/>
          <w:lang w:val="tr-TR"/>
        </w:rPr>
        <w:t>45</w:t>
      </w:r>
      <w:r w:rsidR="007433EE">
        <w:rPr>
          <w:rFonts w:ascii="Arial" w:hAnsi="Arial" w:cs="Arial"/>
          <w:sz w:val="20"/>
          <w:szCs w:val="20"/>
          <w:lang w:val="tr-TR"/>
        </w:rPr>
        <w:t>,</w:t>
      </w:r>
      <w:r>
        <w:rPr>
          <w:rFonts w:ascii="Arial" w:hAnsi="Arial" w:cs="Arial"/>
          <w:sz w:val="20"/>
          <w:szCs w:val="20"/>
          <w:lang w:val="tr-TR"/>
        </w:rPr>
        <w:t>4</w:t>
      </w:r>
      <w:r w:rsidR="007433EE">
        <w:rPr>
          <w:rFonts w:ascii="Arial" w:hAnsi="Arial" w:cs="Arial"/>
          <w:sz w:val="20"/>
          <w:szCs w:val="20"/>
          <w:lang w:val="tr-TR"/>
        </w:rPr>
        <w:t xml:space="preserve">), </w:t>
      </w:r>
      <w:r>
        <w:rPr>
          <w:rFonts w:ascii="Arial" w:hAnsi="Arial" w:cs="Arial"/>
          <w:sz w:val="20"/>
          <w:szCs w:val="20"/>
          <w:lang w:val="tr-TR"/>
        </w:rPr>
        <w:t>Ağrı</w:t>
      </w:r>
      <w:r w:rsidR="008C25EC" w:rsidRPr="003526D0">
        <w:rPr>
          <w:rFonts w:ascii="Arial" w:hAnsi="Arial" w:cs="Arial"/>
          <w:sz w:val="20"/>
          <w:szCs w:val="20"/>
          <w:lang w:val="tr-TR"/>
        </w:rPr>
        <w:t xml:space="preserve"> (%</w:t>
      </w:r>
      <w:r>
        <w:rPr>
          <w:rFonts w:ascii="Arial" w:hAnsi="Arial" w:cs="Arial"/>
          <w:sz w:val="20"/>
          <w:szCs w:val="20"/>
          <w:lang w:val="tr-TR"/>
        </w:rPr>
        <w:t>3</w:t>
      </w:r>
      <w:r w:rsidR="008C25EC" w:rsidRPr="003526D0">
        <w:rPr>
          <w:rFonts w:ascii="Arial" w:hAnsi="Arial" w:cs="Arial"/>
          <w:sz w:val="20"/>
          <w:szCs w:val="20"/>
          <w:lang w:val="tr-TR"/>
        </w:rPr>
        <w:t>7</w:t>
      </w:r>
      <w:r w:rsidR="006019CC" w:rsidRPr="003526D0">
        <w:rPr>
          <w:rFonts w:ascii="Arial" w:hAnsi="Arial" w:cs="Arial"/>
          <w:sz w:val="20"/>
          <w:szCs w:val="20"/>
          <w:lang w:val="tr-TR"/>
        </w:rPr>
        <w:t>,</w:t>
      </w:r>
      <w:r w:rsidR="007433EE">
        <w:rPr>
          <w:rFonts w:ascii="Arial" w:hAnsi="Arial" w:cs="Arial"/>
          <w:sz w:val="20"/>
          <w:szCs w:val="20"/>
          <w:lang w:val="tr-TR"/>
        </w:rPr>
        <w:t>5</w:t>
      </w:r>
      <w:r w:rsidR="006019CC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>
        <w:rPr>
          <w:rFonts w:ascii="Arial" w:hAnsi="Arial" w:cs="Arial"/>
          <w:sz w:val="20"/>
          <w:szCs w:val="20"/>
          <w:lang w:val="tr-TR"/>
        </w:rPr>
        <w:t>Erzincan</w:t>
      </w:r>
      <w:r w:rsidR="006019CC" w:rsidRPr="003526D0">
        <w:rPr>
          <w:rFonts w:ascii="Arial" w:hAnsi="Arial" w:cs="Arial"/>
          <w:sz w:val="20"/>
          <w:szCs w:val="20"/>
          <w:lang w:val="tr-TR"/>
        </w:rPr>
        <w:t xml:space="preserve"> (%</w:t>
      </w:r>
      <w:r w:rsidR="007433EE">
        <w:rPr>
          <w:rFonts w:ascii="Arial" w:hAnsi="Arial" w:cs="Arial"/>
          <w:sz w:val="20"/>
          <w:szCs w:val="20"/>
          <w:lang w:val="tr-TR"/>
        </w:rPr>
        <w:t>2</w:t>
      </w:r>
      <w:r>
        <w:rPr>
          <w:rFonts w:ascii="Arial" w:hAnsi="Arial" w:cs="Arial"/>
          <w:sz w:val="20"/>
          <w:szCs w:val="20"/>
          <w:lang w:val="tr-TR"/>
        </w:rPr>
        <w:t>8</w:t>
      </w:r>
      <w:r w:rsidR="006019CC" w:rsidRPr="003526D0">
        <w:rPr>
          <w:rFonts w:ascii="Arial" w:hAnsi="Arial" w:cs="Arial"/>
          <w:sz w:val="20"/>
          <w:szCs w:val="20"/>
          <w:lang w:val="tr-TR"/>
        </w:rPr>
        <w:t>,</w:t>
      </w:r>
      <w:r>
        <w:rPr>
          <w:rFonts w:ascii="Arial" w:hAnsi="Arial" w:cs="Arial"/>
          <w:sz w:val="20"/>
          <w:szCs w:val="20"/>
          <w:lang w:val="tr-TR"/>
        </w:rPr>
        <w:t>8</w:t>
      </w:r>
      <w:r w:rsidR="006019CC" w:rsidRPr="003526D0">
        <w:rPr>
          <w:rFonts w:ascii="Arial" w:hAnsi="Arial" w:cs="Arial"/>
          <w:sz w:val="20"/>
          <w:szCs w:val="20"/>
          <w:lang w:val="tr-TR"/>
        </w:rPr>
        <w:t>)</w:t>
      </w:r>
      <w:r w:rsidR="007433EE">
        <w:rPr>
          <w:rFonts w:ascii="Arial" w:hAnsi="Arial" w:cs="Arial"/>
          <w:sz w:val="20"/>
          <w:szCs w:val="20"/>
          <w:lang w:val="tr-TR"/>
        </w:rPr>
        <w:t>.</w:t>
      </w:r>
    </w:p>
    <w:p w:rsidR="00C71347" w:rsidRPr="003526D0" w:rsidRDefault="00C818B6" w:rsidP="00C71347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2019 ile karşılaştırıldığında 2020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’de sanayide istihdam azalışının en çok olduğu şehirler; </w:t>
      </w:r>
    </w:p>
    <w:p w:rsidR="00C71347" w:rsidRPr="003526D0" w:rsidRDefault="00C818B6" w:rsidP="00C71347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t>Tunceli</w:t>
      </w:r>
      <w:r w:rsidR="007433EE">
        <w:rPr>
          <w:rFonts w:ascii="Arial" w:hAnsi="Arial" w:cs="Arial"/>
          <w:sz w:val="20"/>
          <w:szCs w:val="20"/>
          <w:lang w:val="tr-TR"/>
        </w:rPr>
        <w:t xml:space="preserve"> (-%</w:t>
      </w:r>
      <w:r>
        <w:rPr>
          <w:rFonts w:ascii="Arial" w:hAnsi="Arial" w:cs="Arial"/>
          <w:sz w:val="20"/>
          <w:szCs w:val="20"/>
          <w:lang w:val="tr-TR"/>
        </w:rPr>
        <w:t>22</w:t>
      </w:r>
      <w:r w:rsidR="007433EE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6</w:t>
      </w:r>
      <w:r w:rsidR="007433EE">
        <w:rPr>
          <w:rFonts w:ascii="Arial" w:hAnsi="Arial" w:cs="Arial"/>
          <w:sz w:val="20"/>
          <w:szCs w:val="20"/>
          <w:lang w:val="tr-TR"/>
        </w:rPr>
        <w:t>), S</w:t>
      </w:r>
      <w:r>
        <w:rPr>
          <w:rFonts w:ascii="Arial" w:hAnsi="Arial" w:cs="Arial"/>
          <w:sz w:val="20"/>
          <w:szCs w:val="20"/>
          <w:lang w:val="tr-TR"/>
        </w:rPr>
        <w:t>ivas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 (-%</w:t>
      </w:r>
      <w:r>
        <w:rPr>
          <w:rFonts w:ascii="Arial" w:hAnsi="Arial" w:cs="Arial"/>
          <w:sz w:val="20"/>
          <w:szCs w:val="20"/>
          <w:lang w:val="tr-TR"/>
        </w:rPr>
        <w:t>13</w:t>
      </w:r>
      <w:r w:rsidR="00C71347" w:rsidRPr="003526D0">
        <w:rPr>
          <w:rFonts w:ascii="Arial" w:hAnsi="Arial" w:cs="Arial"/>
          <w:sz w:val="20"/>
          <w:szCs w:val="20"/>
          <w:lang w:val="tr-TR"/>
        </w:rPr>
        <w:t>,</w:t>
      </w:r>
      <w:r>
        <w:rPr>
          <w:rFonts w:ascii="Arial" w:hAnsi="Arial" w:cs="Arial"/>
          <w:sz w:val="20"/>
          <w:szCs w:val="20"/>
          <w:lang w:val="tr-TR"/>
        </w:rPr>
        <w:t>7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>
        <w:rPr>
          <w:rFonts w:ascii="Arial" w:hAnsi="Arial" w:cs="Arial"/>
          <w:sz w:val="20"/>
          <w:szCs w:val="20"/>
          <w:lang w:val="tr-TR"/>
        </w:rPr>
        <w:t>Van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 (-%</w:t>
      </w:r>
      <w:r>
        <w:rPr>
          <w:rFonts w:ascii="Arial" w:hAnsi="Arial" w:cs="Arial"/>
          <w:sz w:val="20"/>
          <w:szCs w:val="20"/>
          <w:lang w:val="tr-TR"/>
        </w:rPr>
        <w:t>13</w:t>
      </w:r>
      <w:r w:rsidR="00C71347" w:rsidRPr="003526D0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3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>
        <w:rPr>
          <w:rFonts w:ascii="Arial" w:hAnsi="Arial" w:cs="Arial"/>
          <w:sz w:val="20"/>
          <w:szCs w:val="20"/>
          <w:lang w:val="tr-TR"/>
        </w:rPr>
        <w:t>Yozgat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 (-%</w:t>
      </w:r>
      <w:r w:rsidR="007433EE">
        <w:rPr>
          <w:rFonts w:ascii="Arial" w:hAnsi="Arial" w:cs="Arial"/>
          <w:sz w:val="20"/>
          <w:szCs w:val="20"/>
          <w:lang w:val="tr-TR"/>
        </w:rPr>
        <w:t>1</w:t>
      </w:r>
      <w:r w:rsidR="00B634D0">
        <w:rPr>
          <w:rFonts w:ascii="Arial" w:hAnsi="Arial" w:cs="Arial"/>
          <w:sz w:val="20"/>
          <w:szCs w:val="20"/>
          <w:lang w:val="tr-TR"/>
        </w:rPr>
        <w:t>2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 w:rsidR="007433EE">
        <w:rPr>
          <w:rFonts w:ascii="Arial" w:hAnsi="Arial" w:cs="Arial"/>
          <w:sz w:val="20"/>
          <w:szCs w:val="20"/>
          <w:lang w:val="tr-TR"/>
        </w:rPr>
        <w:t>Kars</w:t>
      </w:r>
      <w:r w:rsidR="00C71347" w:rsidRPr="003526D0">
        <w:rPr>
          <w:rFonts w:ascii="Arial" w:hAnsi="Arial" w:cs="Arial"/>
          <w:sz w:val="20"/>
          <w:szCs w:val="20"/>
          <w:lang w:val="tr-TR"/>
        </w:rPr>
        <w:t xml:space="preserve"> (-%</w:t>
      </w:r>
      <w:r w:rsidR="007433EE">
        <w:rPr>
          <w:rFonts w:ascii="Arial" w:hAnsi="Arial" w:cs="Arial"/>
          <w:sz w:val="20"/>
          <w:szCs w:val="20"/>
          <w:lang w:val="tr-TR"/>
        </w:rPr>
        <w:t>1</w:t>
      </w:r>
      <w:r>
        <w:rPr>
          <w:rFonts w:ascii="Arial" w:hAnsi="Arial" w:cs="Arial"/>
          <w:sz w:val="20"/>
          <w:szCs w:val="20"/>
          <w:lang w:val="tr-TR"/>
        </w:rPr>
        <w:t>0</w:t>
      </w:r>
      <w:r w:rsidR="00C71347" w:rsidRPr="003526D0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6</w:t>
      </w:r>
      <w:r w:rsidR="007433EE">
        <w:rPr>
          <w:rFonts w:ascii="Arial" w:hAnsi="Arial" w:cs="Arial"/>
          <w:sz w:val="20"/>
          <w:szCs w:val="20"/>
          <w:lang w:val="tr-TR"/>
        </w:rPr>
        <w:t>).</w:t>
      </w:r>
    </w:p>
    <w:p w:rsidR="00A50C0B" w:rsidRPr="003526D0" w:rsidRDefault="00A50C0B" w:rsidP="009D411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Bölgeler bazında sanayi istihdam</w:t>
      </w:r>
      <w:r w:rsidR="00BC61F4" w:rsidRPr="003526D0">
        <w:rPr>
          <w:rFonts w:ascii="Arial" w:hAnsi="Arial" w:cs="Arial"/>
          <w:sz w:val="20"/>
          <w:szCs w:val="20"/>
          <w:lang w:val="tr-TR"/>
        </w:rPr>
        <w:t xml:space="preserve">ında </w:t>
      </w:r>
      <w:r w:rsidR="00E33374" w:rsidRPr="003526D0">
        <w:rPr>
          <w:rFonts w:ascii="Arial" w:hAnsi="Arial" w:cs="Arial"/>
          <w:sz w:val="20"/>
          <w:szCs w:val="20"/>
          <w:lang w:val="tr-TR"/>
        </w:rPr>
        <w:t>artış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; </w:t>
      </w:r>
      <w:r w:rsidR="004C7D31" w:rsidRPr="004C7D31">
        <w:rPr>
          <w:rFonts w:ascii="Arial" w:hAnsi="Arial" w:cs="Arial"/>
          <w:sz w:val="20"/>
          <w:szCs w:val="20"/>
          <w:lang w:val="tr-TR"/>
        </w:rPr>
        <w:t>Kuzeydoğu Anadolu</w:t>
      </w:r>
      <w:r w:rsidR="00A02BEB" w:rsidRPr="003526D0">
        <w:rPr>
          <w:rFonts w:ascii="Arial" w:hAnsi="Arial" w:cs="Arial"/>
          <w:sz w:val="20"/>
          <w:szCs w:val="20"/>
          <w:lang w:val="tr-TR"/>
        </w:rPr>
        <w:t xml:space="preserve"> (%</w:t>
      </w:r>
      <w:r w:rsidR="004C7D31">
        <w:rPr>
          <w:rFonts w:ascii="Arial" w:hAnsi="Arial" w:cs="Arial"/>
          <w:sz w:val="20"/>
          <w:szCs w:val="20"/>
          <w:lang w:val="tr-TR"/>
        </w:rPr>
        <w:t>16</w:t>
      </w:r>
      <w:r w:rsidR="00BC61F4" w:rsidRPr="003526D0">
        <w:rPr>
          <w:rFonts w:ascii="Arial" w:hAnsi="Arial" w:cs="Arial"/>
          <w:sz w:val="20"/>
          <w:szCs w:val="20"/>
          <w:lang w:val="tr-TR"/>
        </w:rPr>
        <w:t>,</w:t>
      </w:r>
      <w:r w:rsidR="004C7D31">
        <w:rPr>
          <w:rFonts w:ascii="Arial" w:hAnsi="Arial" w:cs="Arial"/>
          <w:sz w:val="20"/>
          <w:szCs w:val="20"/>
          <w:lang w:val="tr-TR"/>
        </w:rPr>
        <w:t>6</w:t>
      </w:r>
      <w:r w:rsidR="00A02BEB" w:rsidRPr="003526D0">
        <w:rPr>
          <w:rFonts w:ascii="Arial" w:hAnsi="Arial" w:cs="Arial"/>
          <w:sz w:val="20"/>
          <w:szCs w:val="20"/>
          <w:lang w:val="tr-TR"/>
        </w:rPr>
        <w:t>),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4C7D31" w:rsidRPr="004C7D31">
        <w:rPr>
          <w:rFonts w:ascii="Arial" w:hAnsi="Arial" w:cs="Arial"/>
          <w:sz w:val="20"/>
          <w:szCs w:val="20"/>
          <w:lang w:val="tr-TR"/>
        </w:rPr>
        <w:t>Güneydoğu Anadolu</w:t>
      </w:r>
      <w:r w:rsidR="005A2490" w:rsidRPr="005A2490">
        <w:rPr>
          <w:rFonts w:ascii="Arial" w:hAnsi="Arial" w:cs="Arial"/>
          <w:sz w:val="20"/>
          <w:szCs w:val="20"/>
          <w:lang w:val="tr-TR"/>
        </w:rPr>
        <w:t xml:space="preserve"> </w:t>
      </w:r>
      <w:r w:rsidR="00A02BEB" w:rsidRPr="003526D0">
        <w:rPr>
          <w:rFonts w:ascii="Arial" w:hAnsi="Arial" w:cs="Arial"/>
          <w:sz w:val="20"/>
          <w:szCs w:val="20"/>
          <w:lang w:val="tr-TR"/>
        </w:rPr>
        <w:t>(%</w:t>
      </w:r>
      <w:r w:rsidR="004C7D31">
        <w:rPr>
          <w:rFonts w:ascii="Arial" w:hAnsi="Arial" w:cs="Arial"/>
          <w:sz w:val="20"/>
          <w:szCs w:val="20"/>
          <w:lang w:val="tr-TR"/>
        </w:rPr>
        <w:t>9</w:t>
      </w:r>
      <w:r w:rsidR="00BC61F4" w:rsidRPr="003526D0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2</w:t>
      </w:r>
      <w:r w:rsidR="00A02BEB" w:rsidRPr="003526D0">
        <w:rPr>
          <w:rFonts w:ascii="Arial" w:hAnsi="Arial" w:cs="Arial"/>
          <w:sz w:val="20"/>
          <w:szCs w:val="20"/>
          <w:lang w:val="tr-TR"/>
        </w:rPr>
        <w:t xml:space="preserve">) </w:t>
      </w:r>
      <w:r w:rsidR="009D411D" w:rsidRPr="009D411D">
        <w:rPr>
          <w:rFonts w:ascii="Arial" w:hAnsi="Arial" w:cs="Arial"/>
          <w:sz w:val="20"/>
          <w:szCs w:val="20"/>
          <w:lang w:val="tr-TR"/>
        </w:rPr>
        <w:t xml:space="preserve">Batı Karadeniz </w:t>
      </w:r>
      <w:r w:rsidR="00A02BEB" w:rsidRPr="003526D0">
        <w:rPr>
          <w:rFonts w:ascii="Arial" w:hAnsi="Arial" w:cs="Arial"/>
          <w:sz w:val="20"/>
          <w:szCs w:val="20"/>
          <w:lang w:val="tr-TR"/>
        </w:rPr>
        <w:t>(%</w:t>
      </w:r>
      <w:r w:rsidR="009D411D">
        <w:rPr>
          <w:rFonts w:ascii="Arial" w:hAnsi="Arial" w:cs="Arial"/>
          <w:sz w:val="20"/>
          <w:szCs w:val="20"/>
          <w:lang w:val="tr-TR"/>
        </w:rPr>
        <w:t>8</w:t>
      </w:r>
      <w:r w:rsidR="00BC61F4" w:rsidRPr="003526D0">
        <w:rPr>
          <w:rFonts w:ascii="Arial" w:hAnsi="Arial" w:cs="Arial"/>
          <w:sz w:val="20"/>
          <w:szCs w:val="20"/>
          <w:lang w:val="tr-TR"/>
        </w:rPr>
        <w:t>,</w:t>
      </w:r>
      <w:r w:rsidR="009D411D">
        <w:rPr>
          <w:rFonts w:ascii="Arial" w:hAnsi="Arial" w:cs="Arial"/>
          <w:sz w:val="20"/>
          <w:szCs w:val="20"/>
          <w:lang w:val="tr-TR"/>
        </w:rPr>
        <w:t>3</w:t>
      </w:r>
      <w:r w:rsidR="00A02BEB" w:rsidRPr="003526D0">
        <w:rPr>
          <w:rFonts w:ascii="Arial" w:hAnsi="Arial" w:cs="Arial"/>
          <w:sz w:val="20"/>
          <w:szCs w:val="20"/>
          <w:lang w:val="tr-TR"/>
        </w:rPr>
        <w:t>)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3B7CAA" w:rsidRPr="003526D0">
        <w:rPr>
          <w:rFonts w:ascii="Arial" w:hAnsi="Arial" w:cs="Arial"/>
          <w:sz w:val="20"/>
          <w:szCs w:val="20"/>
          <w:lang w:val="tr-TR"/>
        </w:rPr>
        <w:t>şeklinde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gerçekleşmiştir.</w:t>
      </w:r>
    </w:p>
    <w:p w:rsidR="00323EE8" w:rsidRPr="00FE3B36" w:rsidRDefault="00A52187" w:rsidP="00FE3B36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S</w:t>
      </w:r>
      <w:r w:rsidR="00A50C0B" w:rsidRPr="003526D0">
        <w:rPr>
          <w:rFonts w:ascii="Arial" w:hAnsi="Arial" w:cs="Arial"/>
          <w:sz w:val="20"/>
          <w:szCs w:val="20"/>
          <w:lang w:val="tr-TR"/>
        </w:rPr>
        <w:t>anayi istihdam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6500BC" w:rsidRPr="003526D0">
        <w:rPr>
          <w:rFonts w:ascii="Arial" w:hAnsi="Arial" w:cs="Arial"/>
          <w:sz w:val="20"/>
          <w:szCs w:val="20"/>
          <w:lang w:val="tr-TR"/>
        </w:rPr>
        <w:t xml:space="preserve">artışının 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en </w:t>
      </w:r>
      <w:r w:rsidR="006500BC" w:rsidRPr="003526D0">
        <w:rPr>
          <w:rFonts w:ascii="Arial" w:hAnsi="Arial" w:cs="Arial"/>
          <w:sz w:val="20"/>
          <w:szCs w:val="20"/>
          <w:lang w:val="tr-TR"/>
        </w:rPr>
        <w:t xml:space="preserve">düşük </w:t>
      </w:r>
      <w:r w:rsidRPr="003526D0">
        <w:rPr>
          <w:rFonts w:ascii="Arial" w:hAnsi="Arial" w:cs="Arial"/>
          <w:sz w:val="20"/>
          <w:szCs w:val="20"/>
          <w:lang w:val="tr-TR"/>
        </w:rPr>
        <w:t>olduğu</w:t>
      </w:r>
      <w:r w:rsidR="00A50C0B" w:rsidRPr="003526D0">
        <w:rPr>
          <w:rFonts w:ascii="Arial" w:hAnsi="Arial" w:cs="Arial"/>
          <w:sz w:val="20"/>
          <w:szCs w:val="20"/>
          <w:lang w:val="tr-TR"/>
        </w:rPr>
        <w:t xml:space="preserve"> bölgeler; </w:t>
      </w:r>
      <w:r w:rsidR="004C7D31" w:rsidRPr="004C7D31">
        <w:rPr>
          <w:rFonts w:ascii="Arial" w:hAnsi="Arial" w:cs="Arial"/>
          <w:sz w:val="20"/>
          <w:szCs w:val="20"/>
          <w:lang w:val="tr-TR"/>
        </w:rPr>
        <w:t>Orta Anadolu</w:t>
      </w:r>
      <w:r w:rsidR="00305D09" w:rsidRPr="003526D0">
        <w:rPr>
          <w:rFonts w:ascii="Arial" w:hAnsi="Arial" w:cs="Arial"/>
          <w:sz w:val="20"/>
          <w:szCs w:val="20"/>
          <w:lang w:val="tr-TR"/>
        </w:rPr>
        <w:t xml:space="preserve"> (</w:t>
      </w:r>
      <w:r w:rsidR="005A2490">
        <w:rPr>
          <w:rFonts w:ascii="Arial" w:hAnsi="Arial" w:cs="Arial"/>
          <w:sz w:val="20"/>
          <w:szCs w:val="20"/>
          <w:lang w:val="tr-TR"/>
        </w:rPr>
        <w:t>-</w:t>
      </w:r>
      <w:r w:rsidR="00305D09" w:rsidRPr="003526D0">
        <w:rPr>
          <w:rFonts w:ascii="Arial" w:hAnsi="Arial" w:cs="Arial"/>
          <w:sz w:val="20"/>
          <w:szCs w:val="20"/>
          <w:lang w:val="tr-TR"/>
        </w:rPr>
        <w:t>%</w:t>
      </w:r>
      <w:r w:rsidR="004C7D31">
        <w:rPr>
          <w:rFonts w:ascii="Arial" w:hAnsi="Arial" w:cs="Arial"/>
          <w:sz w:val="20"/>
          <w:szCs w:val="20"/>
          <w:lang w:val="tr-TR"/>
        </w:rPr>
        <w:t>2</w:t>
      </w:r>
      <w:r w:rsidR="00BC61F4" w:rsidRPr="003526D0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8</w:t>
      </w:r>
      <w:r w:rsidR="00305D09" w:rsidRPr="003526D0">
        <w:rPr>
          <w:rFonts w:ascii="Arial" w:hAnsi="Arial" w:cs="Arial"/>
          <w:sz w:val="20"/>
          <w:szCs w:val="20"/>
          <w:lang w:val="tr-TR"/>
        </w:rPr>
        <w:t xml:space="preserve">) , </w:t>
      </w:r>
      <w:r w:rsidR="004C7D31">
        <w:rPr>
          <w:rFonts w:ascii="Arial" w:hAnsi="Arial" w:cs="Arial"/>
          <w:sz w:val="20"/>
          <w:szCs w:val="20"/>
          <w:lang w:val="tr-TR"/>
        </w:rPr>
        <w:t>Ege</w:t>
      </w:r>
      <w:r w:rsidR="00A02BEB" w:rsidRPr="003526D0">
        <w:rPr>
          <w:rFonts w:ascii="Arial" w:hAnsi="Arial" w:cs="Arial"/>
          <w:sz w:val="20"/>
          <w:szCs w:val="20"/>
          <w:lang w:val="tr-TR"/>
        </w:rPr>
        <w:t xml:space="preserve"> (%</w:t>
      </w:r>
      <w:r w:rsidR="004C7D31">
        <w:rPr>
          <w:rFonts w:ascii="Arial" w:hAnsi="Arial" w:cs="Arial"/>
          <w:sz w:val="20"/>
          <w:szCs w:val="20"/>
          <w:lang w:val="tr-TR"/>
        </w:rPr>
        <w:t>2</w:t>
      </w:r>
      <w:r w:rsidR="00BC61F4" w:rsidRPr="003526D0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9</w:t>
      </w:r>
      <w:r w:rsidR="00A02BEB" w:rsidRPr="003526D0">
        <w:rPr>
          <w:rFonts w:ascii="Arial" w:hAnsi="Arial" w:cs="Arial"/>
          <w:sz w:val="20"/>
          <w:szCs w:val="20"/>
          <w:lang w:val="tr-TR"/>
        </w:rPr>
        <w:t>)</w:t>
      </w:r>
      <w:r w:rsidR="00A02BEB" w:rsidRPr="003526D0">
        <w:rPr>
          <w:rFonts w:ascii="Arial" w:hAnsi="Arial" w:cs="Arial"/>
          <w:b/>
          <w:sz w:val="20"/>
          <w:szCs w:val="20"/>
          <w:lang w:val="tr-TR"/>
        </w:rPr>
        <w:t xml:space="preserve">, </w:t>
      </w:r>
      <w:r w:rsidR="005A2490" w:rsidRPr="005A2490">
        <w:rPr>
          <w:rFonts w:ascii="Arial" w:hAnsi="Arial" w:cs="Arial"/>
          <w:sz w:val="20"/>
          <w:szCs w:val="20"/>
          <w:lang w:val="tr-TR"/>
        </w:rPr>
        <w:t>Doğu Marmara</w:t>
      </w:r>
      <w:r w:rsidR="00A02BEB" w:rsidRPr="003526D0">
        <w:rPr>
          <w:rFonts w:ascii="Arial" w:hAnsi="Arial" w:cs="Arial"/>
          <w:sz w:val="20"/>
          <w:szCs w:val="20"/>
          <w:lang w:val="tr-TR"/>
        </w:rPr>
        <w:t xml:space="preserve"> (%</w:t>
      </w:r>
      <w:r w:rsidR="004C7D31">
        <w:rPr>
          <w:rFonts w:ascii="Arial" w:hAnsi="Arial" w:cs="Arial"/>
          <w:sz w:val="20"/>
          <w:szCs w:val="20"/>
          <w:lang w:val="tr-TR"/>
        </w:rPr>
        <w:t>3</w:t>
      </w:r>
      <w:r w:rsidR="00A02BEB" w:rsidRPr="003526D0">
        <w:rPr>
          <w:rFonts w:ascii="Arial" w:hAnsi="Arial" w:cs="Arial"/>
          <w:sz w:val="20"/>
          <w:szCs w:val="20"/>
          <w:lang w:val="tr-TR"/>
        </w:rPr>
        <w:t>)</w:t>
      </w:r>
      <w:r w:rsidR="00A50C0B" w:rsidRPr="003526D0">
        <w:rPr>
          <w:rFonts w:ascii="Arial" w:hAnsi="Arial" w:cs="Arial"/>
          <w:sz w:val="20"/>
          <w:szCs w:val="20"/>
          <w:lang w:val="tr-TR"/>
        </w:rPr>
        <w:t>.</w:t>
      </w:r>
    </w:p>
    <w:p w:rsidR="00323EE8" w:rsidRPr="003526D0" w:rsidRDefault="00323EE8" w:rsidP="00323EE8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071935" w:rsidRPr="003526D0" w:rsidRDefault="00323EE8" w:rsidP="00B01147">
      <w:pPr>
        <w:pStyle w:val="ListeParagra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hAnsi="Arial" w:cs="Arial"/>
          <w:b/>
          <w:sz w:val="20"/>
          <w:szCs w:val="20"/>
          <w:lang w:val="tr-TR"/>
        </w:rPr>
        <w:t>Çalışan aralıklarına göre rapor dağılımı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946"/>
        <w:gridCol w:w="1100"/>
        <w:gridCol w:w="1370"/>
        <w:gridCol w:w="1299"/>
        <w:gridCol w:w="1651"/>
        <w:gridCol w:w="1370"/>
      </w:tblGrid>
      <w:tr w:rsidR="003526D0" w:rsidRPr="00B01147" w:rsidTr="00173258">
        <w:trPr>
          <w:trHeight w:val="30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147" w:rsidRPr="00B01147" w:rsidRDefault="00B01147" w:rsidP="00B0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011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Çalışan Aralığı</w:t>
            </w:r>
          </w:p>
        </w:tc>
        <w:tc>
          <w:tcPr>
            <w:tcW w:w="1885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B01147" w:rsidRPr="00B01147" w:rsidRDefault="00B01147" w:rsidP="00B0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011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Kapasite Raporu Sayısı </w:t>
            </w:r>
          </w:p>
        </w:tc>
        <w:tc>
          <w:tcPr>
            <w:tcW w:w="238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B01147" w:rsidRPr="00B01147" w:rsidRDefault="00B01147" w:rsidP="00B0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011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Toplam Çalışan</w:t>
            </w:r>
          </w:p>
        </w:tc>
      </w:tr>
      <w:tr w:rsidR="003526D0" w:rsidRPr="003526D0" w:rsidTr="00B01147">
        <w:trPr>
          <w:trHeight w:val="765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47" w:rsidRPr="00B01147" w:rsidRDefault="00B01147" w:rsidP="00B01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147" w:rsidRPr="00B01147" w:rsidRDefault="00FB3E34" w:rsidP="001C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201</w:t>
            </w:r>
            <w:r w:rsidR="001C44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01147" w:rsidRPr="00B01147" w:rsidRDefault="00FB3E34" w:rsidP="001C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20</w:t>
            </w:r>
            <w:r w:rsidR="001C44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147" w:rsidRPr="00B01147" w:rsidRDefault="00B0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011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Dönemsel Değişim </w:t>
            </w:r>
            <w:r w:rsidR="00B634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(%)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147" w:rsidRPr="00B01147" w:rsidRDefault="00FB3E34" w:rsidP="001C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201</w:t>
            </w:r>
            <w:r w:rsidR="001C44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147" w:rsidRPr="00B01147" w:rsidRDefault="00FB3E34" w:rsidP="001C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20</w:t>
            </w:r>
            <w:r w:rsidR="001C44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01147" w:rsidRPr="00B01147" w:rsidRDefault="00B01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B011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 xml:space="preserve">Dönemsel Değişim </w:t>
            </w:r>
            <w:r w:rsidR="00B634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tr-TR" w:eastAsia="tr-TR"/>
              </w:rPr>
              <w:t>(%)</w:t>
            </w:r>
          </w:p>
        </w:tc>
      </w:tr>
      <w:tr w:rsidR="001C44F6" w:rsidRPr="00B01147" w:rsidTr="001C44F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4F6" w:rsidRPr="00B01147" w:rsidRDefault="001C44F6" w:rsidP="001C44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B01147">
              <w:rPr>
                <w:rFonts w:eastAsia="Times New Roman" w:cs="Calibri"/>
                <w:b/>
                <w:bCs/>
                <w:lang w:val="tr-TR" w:eastAsia="tr-TR"/>
              </w:rPr>
              <w:t>1-9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  <w:lang w:val="tr-TR" w:eastAsia="tr-TR"/>
              </w:rPr>
            </w:pPr>
            <w:r>
              <w:rPr>
                <w:color w:val="000000"/>
              </w:rPr>
              <w:t>31.728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33.965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163.954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172.029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</w:tr>
      <w:tr w:rsidR="001C44F6" w:rsidRPr="00B01147" w:rsidTr="00244E5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1C44F6" w:rsidRPr="00B01147" w:rsidRDefault="001C44F6" w:rsidP="001C44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B01147">
              <w:rPr>
                <w:rFonts w:eastAsia="Times New Roman" w:cs="Calibri"/>
                <w:b/>
                <w:bCs/>
                <w:lang w:val="tr-TR" w:eastAsia="tr-TR"/>
              </w:rPr>
              <w:t>10-49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31.133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31.908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725.147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740.085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</w:tr>
      <w:tr w:rsidR="001C44F6" w:rsidRPr="00B01147" w:rsidTr="00244E5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4F6" w:rsidRPr="00B01147" w:rsidRDefault="001C44F6" w:rsidP="001C44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B01147">
              <w:rPr>
                <w:rFonts w:eastAsia="Times New Roman" w:cs="Calibri"/>
                <w:b/>
                <w:bCs/>
                <w:lang w:val="tr-TR" w:eastAsia="tr-TR"/>
              </w:rPr>
              <w:t>50-99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6.149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6.430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431.570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450.298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4,34</w:t>
            </w:r>
          </w:p>
        </w:tc>
      </w:tr>
      <w:tr w:rsidR="001C44F6" w:rsidRPr="00B01147" w:rsidTr="00244E5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1C44F6" w:rsidRPr="00B01147" w:rsidRDefault="001C44F6" w:rsidP="001C44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B01147">
              <w:rPr>
                <w:rFonts w:eastAsia="Times New Roman" w:cs="Calibri"/>
                <w:b/>
                <w:bCs/>
                <w:lang w:val="tr-TR" w:eastAsia="tr-TR"/>
              </w:rPr>
              <w:t>100-249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4.794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714.604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735.832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2,97</w:t>
            </w:r>
          </w:p>
        </w:tc>
      </w:tr>
      <w:tr w:rsidR="001C44F6" w:rsidRPr="00B01147" w:rsidTr="00244E5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44F6" w:rsidRPr="00B01147" w:rsidRDefault="001C44F6" w:rsidP="001C44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B01147">
              <w:rPr>
                <w:rFonts w:eastAsia="Times New Roman" w:cs="Calibri"/>
                <w:b/>
                <w:bCs/>
                <w:lang w:val="tr-TR" w:eastAsia="tr-TR"/>
              </w:rPr>
              <w:t>250+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2.001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2.124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1.144.513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1C44F6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1.208.242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F6" w:rsidRDefault="001C44F6" w:rsidP="00FE3B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5,57</w:t>
            </w:r>
          </w:p>
        </w:tc>
      </w:tr>
      <w:tr w:rsidR="001C44F6" w:rsidRPr="00B01147" w:rsidTr="001C44F6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:rsidR="001C44F6" w:rsidRPr="00B01147" w:rsidRDefault="001C44F6" w:rsidP="001C44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val="tr-TR" w:eastAsia="tr-TR"/>
              </w:rPr>
            </w:pPr>
            <w:r w:rsidRPr="00B01147">
              <w:rPr>
                <w:rFonts w:eastAsia="Times New Roman" w:cs="Calibri"/>
                <w:b/>
                <w:bCs/>
                <w:lang w:val="tr-TR" w:eastAsia="tr-TR"/>
              </w:rPr>
              <w:t>Toplam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1C44F6" w:rsidRPr="001C44F6" w:rsidRDefault="001C44F6" w:rsidP="001C44F6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1C44F6">
              <w:rPr>
                <w:b/>
                <w:color w:val="000000"/>
              </w:rPr>
              <w:t>75.683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1C44F6" w:rsidRPr="001C44F6" w:rsidRDefault="001C44F6" w:rsidP="001C44F6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1C44F6">
              <w:rPr>
                <w:b/>
                <w:color w:val="000000"/>
              </w:rPr>
              <w:t>79.221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1C44F6" w:rsidRPr="001C44F6" w:rsidRDefault="001C44F6" w:rsidP="00FE3B3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1C44F6">
              <w:rPr>
                <w:b/>
                <w:color w:val="000000"/>
              </w:rPr>
              <w:t>4,67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1C44F6" w:rsidRPr="001C44F6" w:rsidRDefault="001C44F6" w:rsidP="001C44F6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1C44F6">
              <w:rPr>
                <w:b/>
                <w:color w:val="000000"/>
              </w:rPr>
              <w:t>3.179.788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1C44F6" w:rsidRPr="001C44F6" w:rsidRDefault="001C44F6" w:rsidP="001C44F6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1C44F6">
              <w:rPr>
                <w:b/>
                <w:color w:val="000000"/>
              </w:rPr>
              <w:t>3.306.486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1C44F6" w:rsidRPr="001C44F6" w:rsidRDefault="008622E1" w:rsidP="00FE3B3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3,99</w:t>
            </w:r>
          </w:p>
        </w:tc>
      </w:tr>
    </w:tbl>
    <w:p w:rsidR="00B01147" w:rsidRPr="003526D0" w:rsidRDefault="00B634D0" w:rsidP="00FE3B36">
      <w:pPr>
        <w:pStyle w:val="ListeParagraf"/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 xml:space="preserve">Kaynak: TOBB Sanayi </w:t>
      </w:r>
      <w:proofErr w:type="spellStart"/>
      <w:r>
        <w:rPr>
          <w:rFonts w:ascii="Arial" w:hAnsi="Arial" w:cs="Arial"/>
          <w:b/>
          <w:sz w:val="20"/>
          <w:szCs w:val="20"/>
          <w:lang w:val="tr-TR"/>
        </w:rPr>
        <w:t>Veritabanı</w:t>
      </w:r>
      <w:proofErr w:type="spellEnd"/>
    </w:p>
    <w:p w:rsidR="00B634D0" w:rsidRDefault="00B634D0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2F2922" w:rsidRPr="003526D0" w:rsidRDefault="00003254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hAnsi="Arial" w:cs="Arial"/>
          <w:b/>
          <w:sz w:val="20"/>
          <w:szCs w:val="20"/>
          <w:lang w:val="tr-TR"/>
        </w:rPr>
        <w:t>20</w:t>
      </w:r>
      <w:r w:rsidR="0075463F">
        <w:rPr>
          <w:rFonts w:ascii="Arial" w:hAnsi="Arial" w:cs="Arial"/>
          <w:b/>
          <w:sz w:val="20"/>
          <w:szCs w:val="20"/>
          <w:lang w:val="tr-TR"/>
        </w:rPr>
        <w:t>20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 sonu itibariyle sanayi tesislerinde en çok mühendis </w:t>
      </w:r>
      <w:r w:rsidR="00CE20E8" w:rsidRPr="003526D0">
        <w:rPr>
          <w:rFonts w:ascii="Arial" w:hAnsi="Arial" w:cs="Arial"/>
          <w:b/>
          <w:sz w:val="20"/>
          <w:szCs w:val="20"/>
          <w:lang w:val="tr-TR"/>
        </w:rPr>
        <w:t>Doğu Marmara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>’da çalışmaktadır.</w:t>
      </w:r>
    </w:p>
    <w:p w:rsidR="002F2922" w:rsidRPr="003526D0" w:rsidRDefault="00CE20E8" w:rsidP="004B39FB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Doğu Marmara</w:t>
      </w:r>
      <w:r w:rsidR="002F2922" w:rsidRPr="003526D0">
        <w:rPr>
          <w:rFonts w:ascii="Arial" w:hAnsi="Arial" w:cs="Arial"/>
          <w:sz w:val="20"/>
          <w:szCs w:val="20"/>
          <w:lang w:val="tr-TR"/>
        </w:rPr>
        <w:t>’da çal</w:t>
      </w:r>
      <w:r w:rsidR="00B909D7" w:rsidRPr="003526D0">
        <w:rPr>
          <w:rFonts w:ascii="Arial" w:hAnsi="Arial" w:cs="Arial"/>
          <w:sz w:val="20"/>
          <w:szCs w:val="20"/>
          <w:lang w:val="tr-TR"/>
        </w:rPr>
        <w:t xml:space="preserve">ışan </w:t>
      </w:r>
      <w:r w:rsidR="0075463F">
        <w:rPr>
          <w:rFonts w:ascii="Arial" w:hAnsi="Arial" w:cs="Arial"/>
          <w:sz w:val="20"/>
          <w:szCs w:val="20"/>
          <w:lang w:val="tr-TR"/>
        </w:rPr>
        <w:t>37</w:t>
      </w:r>
      <w:r w:rsidR="00890330">
        <w:rPr>
          <w:rFonts w:ascii="Arial" w:hAnsi="Arial" w:cs="Arial"/>
          <w:sz w:val="20"/>
          <w:szCs w:val="20"/>
          <w:lang w:val="tr-TR"/>
        </w:rPr>
        <w:t>.</w:t>
      </w:r>
      <w:r w:rsidR="0075463F">
        <w:rPr>
          <w:rFonts w:ascii="Arial" w:hAnsi="Arial" w:cs="Arial"/>
          <w:sz w:val="20"/>
          <w:szCs w:val="20"/>
          <w:lang w:val="tr-TR"/>
        </w:rPr>
        <w:t>12</w:t>
      </w:r>
      <w:r w:rsidR="00827726">
        <w:rPr>
          <w:rFonts w:ascii="Arial" w:hAnsi="Arial" w:cs="Arial"/>
          <w:sz w:val="20"/>
          <w:szCs w:val="20"/>
          <w:lang w:val="tr-TR"/>
        </w:rPr>
        <w:t>7</w:t>
      </w:r>
      <w:r w:rsidR="002F2922" w:rsidRPr="003526D0">
        <w:rPr>
          <w:rFonts w:ascii="Arial" w:hAnsi="Arial" w:cs="Arial"/>
          <w:sz w:val="20"/>
          <w:szCs w:val="20"/>
          <w:lang w:val="tr-TR"/>
        </w:rPr>
        <w:t xml:space="preserve"> mühe</w:t>
      </w:r>
      <w:r w:rsidR="00B909D7" w:rsidRPr="003526D0">
        <w:rPr>
          <w:rFonts w:ascii="Arial" w:hAnsi="Arial" w:cs="Arial"/>
          <w:sz w:val="20"/>
          <w:szCs w:val="20"/>
          <w:lang w:val="tr-TR"/>
        </w:rPr>
        <w:t xml:space="preserve">ndise karşılık, </w:t>
      </w:r>
      <w:r w:rsidRPr="003526D0">
        <w:rPr>
          <w:rFonts w:ascii="Arial" w:hAnsi="Arial" w:cs="Arial"/>
          <w:sz w:val="20"/>
          <w:szCs w:val="20"/>
          <w:lang w:val="tr-TR"/>
        </w:rPr>
        <w:t>İstanbul</w:t>
      </w:r>
      <w:r w:rsidR="00B909D7" w:rsidRPr="003526D0">
        <w:rPr>
          <w:rFonts w:ascii="Arial" w:hAnsi="Arial" w:cs="Arial"/>
          <w:sz w:val="20"/>
          <w:szCs w:val="20"/>
          <w:lang w:val="tr-TR"/>
        </w:rPr>
        <w:t xml:space="preserve">’da </w:t>
      </w:r>
      <w:r w:rsidR="00827726">
        <w:rPr>
          <w:rFonts w:ascii="Arial" w:hAnsi="Arial" w:cs="Arial"/>
          <w:sz w:val="20"/>
          <w:szCs w:val="20"/>
          <w:lang w:val="tr-TR"/>
        </w:rPr>
        <w:t>3</w:t>
      </w:r>
      <w:r w:rsidR="0075463F">
        <w:rPr>
          <w:rFonts w:ascii="Arial" w:hAnsi="Arial" w:cs="Arial"/>
          <w:sz w:val="20"/>
          <w:szCs w:val="20"/>
          <w:lang w:val="tr-TR"/>
        </w:rPr>
        <w:t>5</w:t>
      </w:r>
      <w:r w:rsidR="006F56FC" w:rsidRPr="003526D0">
        <w:rPr>
          <w:rFonts w:ascii="Arial" w:hAnsi="Arial" w:cs="Arial"/>
          <w:sz w:val="20"/>
          <w:szCs w:val="20"/>
          <w:lang w:val="tr-TR"/>
        </w:rPr>
        <w:t>.</w:t>
      </w:r>
      <w:r w:rsidR="0075463F">
        <w:rPr>
          <w:rFonts w:ascii="Arial" w:hAnsi="Arial" w:cs="Arial"/>
          <w:sz w:val="20"/>
          <w:szCs w:val="20"/>
          <w:lang w:val="tr-TR"/>
        </w:rPr>
        <w:t>153</w:t>
      </w:r>
      <w:r w:rsidR="008E3D16" w:rsidRPr="003526D0">
        <w:rPr>
          <w:rFonts w:ascii="Arial" w:hAnsi="Arial" w:cs="Arial"/>
          <w:sz w:val="20"/>
          <w:szCs w:val="20"/>
          <w:lang w:val="tr-TR"/>
        </w:rPr>
        <w:t xml:space="preserve">, </w:t>
      </w:r>
      <w:r w:rsidR="00851A15" w:rsidRPr="003526D0">
        <w:rPr>
          <w:rFonts w:ascii="Arial" w:hAnsi="Arial" w:cs="Arial"/>
          <w:sz w:val="20"/>
          <w:szCs w:val="20"/>
          <w:lang w:val="tr-TR"/>
        </w:rPr>
        <w:t>Batı Anadolu</w:t>
      </w:r>
      <w:r w:rsidR="00B909D7" w:rsidRPr="003526D0">
        <w:rPr>
          <w:rFonts w:ascii="Arial" w:hAnsi="Arial" w:cs="Arial"/>
          <w:sz w:val="20"/>
          <w:szCs w:val="20"/>
          <w:lang w:val="tr-TR"/>
        </w:rPr>
        <w:t>’</w:t>
      </w:r>
      <w:r w:rsidRPr="003526D0">
        <w:rPr>
          <w:rFonts w:ascii="Arial" w:hAnsi="Arial" w:cs="Arial"/>
          <w:sz w:val="20"/>
          <w:szCs w:val="20"/>
          <w:lang w:val="tr-TR"/>
        </w:rPr>
        <w:t>d</w:t>
      </w:r>
      <w:r w:rsidR="00851A15" w:rsidRPr="003526D0">
        <w:rPr>
          <w:rFonts w:ascii="Arial" w:hAnsi="Arial" w:cs="Arial"/>
          <w:sz w:val="20"/>
          <w:szCs w:val="20"/>
          <w:lang w:val="tr-TR"/>
        </w:rPr>
        <w:t xml:space="preserve">a </w:t>
      </w:r>
      <w:r w:rsidR="0075463F">
        <w:rPr>
          <w:rFonts w:ascii="Arial" w:hAnsi="Arial" w:cs="Arial"/>
          <w:sz w:val="20"/>
          <w:szCs w:val="20"/>
          <w:lang w:val="tr-TR"/>
        </w:rPr>
        <w:t>30</w:t>
      </w:r>
      <w:r w:rsidRPr="003526D0">
        <w:rPr>
          <w:rFonts w:ascii="Arial" w:hAnsi="Arial" w:cs="Arial"/>
          <w:sz w:val="20"/>
          <w:szCs w:val="20"/>
          <w:lang w:val="tr-TR"/>
        </w:rPr>
        <w:t>.</w:t>
      </w:r>
      <w:r w:rsidR="0075463F">
        <w:rPr>
          <w:rFonts w:ascii="Arial" w:hAnsi="Arial" w:cs="Arial"/>
          <w:sz w:val="20"/>
          <w:szCs w:val="20"/>
          <w:lang w:val="tr-TR"/>
        </w:rPr>
        <w:t>245</w:t>
      </w:r>
      <w:r w:rsidR="00B909D7" w:rsidRPr="003526D0">
        <w:rPr>
          <w:rFonts w:ascii="Arial" w:hAnsi="Arial" w:cs="Arial"/>
          <w:sz w:val="20"/>
          <w:szCs w:val="20"/>
          <w:lang w:val="tr-TR"/>
        </w:rPr>
        <w:t xml:space="preserve">, </w:t>
      </w:r>
      <w:r w:rsidR="00851A15" w:rsidRPr="003526D0">
        <w:rPr>
          <w:rFonts w:ascii="Arial" w:hAnsi="Arial" w:cs="Arial"/>
          <w:sz w:val="20"/>
          <w:szCs w:val="20"/>
          <w:lang w:val="tr-TR"/>
        </w:rPr>
        <w:t>Ege</w:t>
      </w:r>
      <w:r w:rsidR="004E0A30" w:rsidRPr="003526D0">
        <w:rPr>
          <w:rFonts w:ascii="Arial" w:hAnsi="Arial" w:cs="Arial"/>
          <w:sz w:val="20"/>
          <w:szCs w:val="20"/>
          <w:lang w:val="tr-TR"/>
        </w:rPr>
        <w:t>’de</w:t>
      </w:r>
      <w:r w:rsidR="00CC724F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827726">
        <w:rPr>
          <w:rFonts w:ascii="Arial" w:hAnsi="Arial" w:cs="Arial"/>
          <w:sz w:val="20"/>
          <w:szCs w:val="20"/>
          <w:lang w:val="tr-TR"/>
        </w:rPr>
        <w:t>2</w:t>
      </w:r>
      <w:r w:rsidR="0075463F">
        <w:rPr>
          <w:rFonts w:ascii="Arial" w:hAnsi="Arial" w:cs="Arial"/>
          <w:sz w:val="20"/>
          <w:szCs w:val="20"/>
          <w:lang w:val="tr-TR"/>
        </w:rPr>
        <w:t>3</w:t>
      </w:r>
      <w:r w:rsidR="00EC6206" w:rsidRPr="003526D0">
        <w:rPr>
          <w:rFonts w:ascii="Arial" w:hAnsi="Arial" w:cs="Arial"/>
          <w:sz w:val="20"/>
          <w:szCs w:val="20"/>
          <w:lang w:val="tr-TR"/>
        </w:rPr>
        <w:t>.</w:t>
      </w:r>
      <w:r w:rsidR="0075463F">
        <w:rPr>
          <w:rFonts w:ascii="Arial" w:hAnsi="Arial" w:cs="Arial"/>
          <w:sz w:val="20"/>
          <w:szCs w:val="20"/>
          <w:lang w:val="tr-TR"/>
        </w:rPr>
        <w:t>314</w:t>
      </w:r>
      <w:r w:rsidR="008E3D16" w:rsidRPr="003526D0">
        <w:rPr>
          <w:rFonts w:ascii="Arial" w:hAnsi="Arial" w:cs="Arial"/>
          <w:sz w:val="20"/>
          <w:szCs w:val="20"/>
          <w:lang w:val="tr-TR"/>
        </w:rPr>
        <w:t xml:space="preserve">, </w:t>
      </w:r>
      <w:r w:rsidR="00851A15" w:rsidRPr="003526D0">
        <w:rPr>
          <w:rFonts w:ascii="Arial" w:hAnsi="Arial" w:cs="Arial"/>
          <w:sz w:val="20"/>
          <w:szCs w:val="20"/>
          <w:lang w:val="tr-TR"/>
        </w:rPr>
        <w:t>Akdeniz</w:t>
      </w:r>
      <w:r w:rsidR="00060C25">
        <w:rPr>
          <w:rFonts w:ascii="Arial" w:hAnsi="Arial" w:cs="Arial"/>
          <w:sz w:val="20"/>
          <w:szCs w:val="20"/>
          <w:lang w:val="tr-TR"/>
        </w:rPr>
        <w:t>’de</w:t>
      </w:r>
      <w:r w:rsidR="00B909D7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827726">
        <w:rPr>
          <w:rFonts w:ascii="Arial" w:hAnsi="Arial" w:cs="Arial"/>
          <w:sz w:val="20"/>
          <w:szCs w:val="20"/>
          <w:lang w:val="tr-TR"/>
        </w:rPr>
        <w:t>9</w:t>
      </w:r>
      <w:r w:rsidR="00AE7DA1" w:rsidRPr="003526D0">
        <w:rPr>
          <w:rFonts w:ascii="Arial" w:hAnsi="Arial" w:cs="Arial"/>
          <w:sz w:val="20"/>
          <w:szCs w:val="20"/>
          <w:lang w:val="tr-TR"/>
        </w:rPr>
        <w:t>.</w:t>
      </w:r>
      <w:r w:rsidR="0075463F">
        <w:rPr>
          <w:rFonts w:ascii="Arial" w:hAnsi="Arial" w:cs="Arial"/>
          <w:sz w:val="20"/>
          <w:szCs w:val="20"/>
          <w:lang w:val="tr-TR"/>
        </w:rPr>
        <w:t>824</w:t>
      </w:r>
      <w:r w:rsidR="002F2922" w:rsidRPr="003526D0">
        <w:rPr>
          <w:rFonts w:ascii="Arial" w:hAnsi="Arial" w:cs="Arial"/>
          <w:sz w:val="20"/>
          <w:szCs w:val="20"/>
          <w:lang w:val="tr-TR"/>
        </w:rPr>
        <w:t xml:space="preserve"> mühendis sanayi tesislerinde istihdam edilmiştir.</w:t>
      </w:r>
    </w:p>
    <w:p w:rsidR="002F2922" w:rsidRPr="003526D0" w:rsidRDefault="00CC724F" w:rsidP="004B39FB">
      <w:pPr>
        <w:pStyle w:val="ListeParagraf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Toplam çalışanların %</w:t>
      </w:r>
      <w:r w:rsidR="00A02BEB" w:rsidRPr="003526D0">
        <w:rPr>
          <w:rFonts w:ascii="Arial" w:hAnsi="Arial" w:cs="Arial"/>
          <w:sz w:val="20"/>
          <w:szCs w:val="20"/>
          <w:lang w:val="tr-TR"/>
        </w:rPr>
        <w:t>4,</w:t>
      </w:r>
      <w:r w:rsidR="00B634D0">
        <w:rPr>
          <w:rFonts w:ascii="Arial" w:hAnsi="Arial" w:cs="Arial"/>
          <w:sz w:val="20"/>
          <w:szCs w:val="20"/>
          <w:lang w:val="tr-TR"/>
        </w:rPr>
        <w:t>9</w:t>
      </w:r>
      <w:r w:rsidR="00F578C6" w:rsidRPr="003526D0">
        <w:rPr>
          <w:rFonts w:ascii="Arial" w:hAnsi="Arial" w:cs="Arial"/>
          <w:sz w:val="20"/>
          <w:szCs w:val="20"/>
          <w:lang w:val="tr-TR"/>
        </w:rPr>
        <w:t>’</w:t>
      </w:r>
      <w:r w:rsidR="00B634D0">
        <w:rPr>
          <w:rFonts w:ascii="Arial" w:hAnsi="Arial" w:cs="Arial"/>
          <w:sz w:val="20"/>
          <w:szCs w:val="20"/>
          <w:lang w:val="tr-TR"/>
        </w:rPr>
        <w:t>u</w:t>
      </w:r>
      <w:r w:rsidR="0075463F">
        <w:rPr>
          <w:rFonts w:ascii="Arial" w:hAnsi="Arial" w:cs="Arial"/>
          <w:sz w:val="20"/>
          <w:szCs w:val="20"/>
          <w:lang w:val="tr-TR"/>
        </w:rPr>
        <w:t>n</w:t>
      </w:r>
      <w:r w:rsidR="00B634D0">
        <w:rPr>
          <w:rFonts w:ascii="Arial" w:hAnsi="Arial" w:cs="Arial"/>
          <w:sz w:val="20"/>
          <w:szCs w:val="20"/>
          <w:lang w:val="tr-TR"/>
        </w:rPr>
        <w:t>u</w:t>
      </w:r>
      <w:r w:rsidR="00BE0011" w:rsidRPr="003526D0">
        <w:rPr>
          <w:rFonts w:ascii="Arial" w:hAnsi="Arial" w:cs="Arial"/>
          <w:sz w:val="20"/>
          <w:szCs w:val="20"/>
          <w:lang w:val="tr-TR"/>
        </w:rPr>
        <w:t xml:space="preserve"> mühendis, %4</w:t>
      </w:r>
      <w:r w:rsidR="008C15CD" w:rsidRPr="003526D0">
        <w:rPr>
          <w:rFonts w:ascii="Arial" w:hAnsi="Arial" w:cs="Arial"/>
          <w:sz w:val="20"/>
          <w:szCs w:val="20"/>
          <w:lang w:val="tr-TR"/>
        </w:rPr>
        <w:t>,</w:t>
      </w:r>
      <w:r w:rsidR="0075463F">
        <w:rPr>
          <w:rFonts w:ascii="Arial" w:hAnsi="Arial" w:cs="Arial"/>
          <w:sz w:val="20"/>
          <w:szCs w:val="20"/>
          <w:lang w:val="tr-TR"/>
        </w:rPr>
        <w:t>6</w:t>
      </w:r>
      <w:r w:rsidR="00F578C6" w:rsidRPr="003526D0">
        <w:rPr>
          <w:rFonts w:ascii="Arial" w:hAnsi="Arial" w:cs="Arial"/>
          <w:sz w:val="20"/>
          <w:szCs w:val="20"/>
          <w:lang w:val="tr-TR"/>
        </w:rPr>
        <w:t>’</w:t>
      </w:r>
      <w:r w:rsidR="00B634D0">
        <w:rPr>
          <w:rFonts w:ascii="Arial" w:hAnsi="Arial" w:cs="Arial"/>
          <w:sz w:val="20"/>
          <w:szCs w:val="20"/>
          <w:lang w:val="tr-TR"/>
        </w:rPr>
        <w:t>sı</w:t>
      </w:r>
      <w:r w:rsidR="0075463F">
        <w:rPr>
          <w:rFonts w:ascii="Arial" w:hAnsi="Arial" w:cs="Arial"/>
          <w:sz w:val="20"/>
          <w:szCs w:val="20"/>
          <w:lang w:val="tr-TR"/>
        </w:rPr>
        <w:t>nı</w:t>
      </w:r>
      <w:r w:rsidR="00344AC0" w:rsidRPr="003526D0">
        <w:rPr>
          <w:rFonts w:ascii="Arial" w:hAnsi="Arial" w:cs="Arial"/>
          <w:sz w:val="20"/>
          <w:szCs w:val="20"/>
          <w:lang w:val="tr-TR"/>
        </w:rPr>
        <w:t xml:space="preserve"> teknisyen, %</w:t>
      </w:r>
      <w:r w:rsidR="008C15CD" w:rsidRPr="003526D0">
        <w:rPr>
          <w:rFonts w:ascii="Arial" w:hAnsi="Arial" w:cs="Arial"/>
          <w:sz w:val="20"/>
          <w:szCs w:val="20"/>
          <w:lang w:val="tr-TR"/>
        </w:rPr>
        <w:t>6,</w:t>
      </w:r>
      <w:r w:rsidR="00B634D0">
        <w:rPr>
          <w:rFonts w:ascii="Arial" w:hAnsi="Arial" w:cs="Arial"/>
          <w:sz w:val="20"/>
          <w:szCs w:val="20"/>
          <w:lang w:val="tr-TR"/>
        </w:rPr>
        <w:t>5</w:t>
      </w:r>
      <w:r w:rsidR="006F56FC" w:rsidRPr="003526D0">
        <w:rPr>
          <w:rFonts w:ascii="Arial" w:hAnsi="Arial" w:cs="Arial"/>
          <w:sz w:val="20"/>
          <w:szCs w:val="20"/>
          <w:lang w:val="tr-TR"/>
        </w:rPr>
        <w:t>’</w:t>
      </w:r>
      <w:r w:rsidR="00B634D0">
        <w:rPr>
          <w:rFonts w:ascii="Arial" w:hAnsi="Arial" w:cs="Arial"/>
          <w:sz w:val="20"/>
          <w:szCs w:val="20"/>
          <w:lang w:val="tr-TR"/>
        </w:rPr>
        <w:t>i</w:t>
      </w:r>
      <w:r w:rsidR="0075463F">
        <w:rPr>
          <w:rFonts w:ascii="Arial" w:hAnsi="Arial" w:cs="Arial"/>
          <w:sz w:val="20"/>
          <w:szCs w:val="20"/>
          <w:lang w:val="tr-TR"/>
        </w:rPr>
        <w:t>n</w:t>
      </w:r>
      <w:r w:rsidR="00B634D0">
        <w:rPr>
          <w:rFonts w:ascii="Arial" w:hAnsi="Arial" w:cs="Arial"/>
          <w:sz w:val="20"/>
          <w:szCs w:val="20"/>
          <w:lang w:val="tr-TR"/>
        </w:rPr>
        <w:t>i</w:t>
      </w:r>
      <w:r w:rsidR="00A67795">
        <w:rPr>
          <w:rFonts w:ascii="Arial" w:hAnsi="Arial" w:cs="Arial"/>
          <w:sz w:val="20"/>
          <w:szCs w:val="20"/>
          <w:lang w:val="tr-TR"/>
        </w:rPr>
        <w:t xml:space="preserve"> usta, %71,</w:t>
      </w:r>
      <w:r w:rsidR="0075463F">
        <w:rPr>
          <w:rFonts w:ascii="Arial" w:hAnsi="Arial" w:cs="Arial"/>
          <w:sz w:val="20"/>
          <w:szCs w:val="20"/>
          <w:lang w:val="tr-TR"/>
        </w:rPr>
        <w:t>7</w:t>
      </w:r>
      <w:r w:rsidR="00740B4D" w:rsidRPr="003526D0">
        <w:rPr>
          <w:rFonts w:ascii="Arial" w:hAnsi="Arial" w:cs="Arial"/>
          <w:sz w:val="20"/>
          <w:szCs w:val="20"/>
          <w:lang w:val="tr-TR"/>
        </w:rPr>
        <w:t>’</w:t>
      </w:r>
      <w:r w:rsidR="00B634D0">
        <w:rPr>
          <w:rFonts w:ascii="Arial" w:hAnsi="Arial" w:cs="Arial"/>
          <w:sz w:val="20"/>
          <w:szCs w:val="20"/>
          <w:lang w:val="tr-TR"/>
        </w:rPr>
        <w:t>si</w:t>
      </w:r>
      <w:r w:rsidR="0075463F">
        <w:rPr>
          <w:rFonts w:ascii="Arial" w:hAnsi="Arial" w:cs="Arial"/>
          <w:sz w:val="20"/>
          <w:szCs w:val="20"/>
          <w:lang w:val="tr-TR"/>
        </w:rPr>
        <w:t>ni</w:t>
      </w:r>
      <w:r w:rsidR="003140BB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B333FB" w:rsidRPr="003526D0">
        <w:rPr>
          <w:rFonts w:ascii="Arial" w:hAnsi="Arial" w:cs="Arial"/>
          <w:sz w:val="20"/>
          <w:szCs w:val="20"/>
          <w:lang w:val="tr-TR"/>
        </w:rPr>
        <w:t xml:space="preserve">işçi, </w:t>
      </w:r>
      <w:r w:rsidR="008C15CD" w:rsidRPr="003526D0">
        <w:rPr>
          <w:rFonts w:ascii="Arial" w:hAnsi="Arial" w:cs="Arial"/>
          <w:sz w:val="20"/>
          <w:szCs w:val="20"/>
          <w:lang w:val="tr-TR"/>
        </w:rPr>
        <w:t>%</w:t>
      </w:r>
      <w:r w:rsidR="00CA0CE5" w:rsidRPr="003526D0">
        <w:rPr>
          <w:rFonts w:ascii="Arial" w:hAnsi="Arial" w:cs="Arial"/>
          <w:sz w:val="20"/>
          <w:szCs w:val="20"/>
          <w:lang w:val="tr-TR"/>
        </w:rPr>
        <w:t>11</w:t>
      </w:r>
      <w:r w:rsidR="008C15CD" w:rsidRPr="003526D0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2</w:t>
      </w:r>
      <w:r w:rsidR="00CA0CE5" w:rsidRPr="003526D0">
        <w:rPr>
          <w:rFonts w:ascii="Arial" w:hAnsi="Arial" w:cs="Arial"/>
          <w:sz w:val="20"/>
          <w:szCs w:val="20"/>
          <w:lang w:val="tr-TR"/>
        </w:rPr>
        <w:t>’</w:t>
      </w:r>
      <w:r w:rsidR="00B634D0">
        <w:rPr>
          <w:rFonts w:ascii="Arial" w:hAnsi="Arial" w:cs="Arial"/>
          <w:sz w:val="20"/>
          <w:szCs w:val="20"/>
          <w:lang w:val="tr-TR"/>
        </w:rPr>
        <w:t>s</w:t>
      </w:r>
      <w:r w:rsidR="0075463F">
        <w:rPr>
          <w:rFonts w:ascii="Arial" w:hAnsi="Arial" w:cs="Arial"/>
          <w:sz w:val="20"/>
          <w:szCs w:val="20"/>
          <w:lang w:val="tr-TR"/>
        </w:rPr>
        <w:t>ini</w:t>
      </w:r>
      <w:r w:rsidR="002F2922" w:rsidRPr="003526D0">
        <w:rPr>
          <w:rFonts w:ascii="Arial" w:hAnsi="Arial" w:cs="Arial"/>
          <w:sz w:val="20"/>
          <w:szCs w:val="20"/>
          <w:lang w:val="tr-TR"/>
        </w:rPr>
        <w:t xml:space="preserve"> idari personel</w:t>
      </w:r>
      <w:r w:rsidR="00D81A6F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2F2922" w:rsidRPr="003526D0">
        <w:rPr>
          <w:rFonts w:ascii="Arial" w:hAnsi="Arial" w:cs="Arial"/>
          <w:sz w:val="20"/>
          <w:szCs w:val="20"/>
          <w:lang w:val="tr-TR"/>
        </w:rPr>
        <w:t>oluşturmuştur.</w:t>
      </w:r>
    </w:p>
    <w:p w:rsidR="008D2E14" w:rsidRDefault="008D2E14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E157F0" w:rsidRPr="00C86C05" w:rsidRDefault="0076627A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2020</w:t>
      </w:r>
      <w:r w:rsidR="00E157F0" w:rsidRPr="00C86C05">
        <w:rPr>
          <w:rFonts w:ascii="Arial" w:hAnsi="Arial" w:cs="Arial"/>
          <w:b/>
          <w:sz w:val="20"/>
          <w:szCs w:val="20"/>
          <w:lang w:val="tr-TR"/>
        </w:rPr>
        <w:t xml:space="preserve"> sonu itibariyle sanayi tesislerinde ortalama </w:t>
      </w:r>
      <w:r w:rsidR="000D676A" w:rsidRPr="00C86C05">
        <w:rPr>
          <w:rFonts w:ascii="Arial" w:hAnsi="Arial" w:cs="Arial"/>
          <w:b/>
          <w:sz w:val="20"/>
          <w:szCs w:val="20"/>
          <w:lang w:val="tr-TR"/>
        </w:rPr>
        <w:t>4</w:t>
      </w:r>
      <w:r>
        <w:rPr>
          <w:rFonts w:ascii="Arial" w:hAnsi="Arial" w:cs="Arial"/>
          <w:b/>
          <w:sz w:val="20"/>
          <w:szCs w:val="20"/>
          <w:lang w:val="tr-TR"/>
        </w:rPr>
        <w:t>1</w:t>
      </w:r>
      <w:r w:rsidR="007959C8" w:rsidRPr="00C86C05">
        <w:rPr>
          <w:rFonts w:ascii="Arial" w:hAnsi="Arial" w:cs="Arial"/>
          <w:b/>
          <w:sz w:val="20"/>
          <w:szCs w:val="20"/>
          <w:lang w:val="tr-TR"/>
        </w:rPr>
        <w:t>,</w:t>
      </w:r>
      <w:r>
        <w:rPr>
          <w:rFonts w:ascii="Arial" w:hAnsi="Arial" w:cs="Arial"/>
          <w:b/>
          <w:sz w:val="20"/>
          <w:szCs w:val="20"/>
          <w:lang w:val="tr-TR"/>
        </w:rPr>
        <w:t>7</w:t>
      </w:r>
      <w:r w:rsidR="00E157F0" w:rsidRPr="00C86C05">
        <w:rPr>
          <w:rFonts w:ascii="Arial" w:hAnsi="Arial" w:cs="Arial"/>
          <w:b/>
          <w:sz w:val="20"/>
          <w:szCs w:val="20"/>
          <w:lang w:val="tr-TR"/>
        </w:rPr>
        <w:t xml:space="preserve"> kişi çalışmaktadır.</w:t>
      </w:r>
    </w:p>
    <w:p w:rsidR="00E157F0" w:rsidRPr="00C86C05" w:rsidRDefault="00EC2BDB" w:rsidP="0049291A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C86C05">
        <w:rPr>
          <w:rFonts w:ascii="Arial" w:hAnsi="Arial" w:cs="Arial"/>
          <w:sz w:val="20"/>
          <w:szCs w:val="20"/>
          <w:lang w:val="tr-TR"/>
        </w:rPr>
        <w:t>Sanayi tesisi</w:t>
      </w:r>
      <w:r w:rsidR="002F2922" w:rsidRPr="00C86C05">
        <w:rPr>
          <w:rFonts w:ascii="Arial" w:hAnsi="Arial" w:cs="Arial"/>
          <w:sz w:val="20"/>
          <w:szCs w:val="20"/>
          <w:lang w:val="tr-TR"/>
        </w:rPr>
        <w:t xml:space="preserve"> başına en ço</w:t>
      </w:r>
      <w:r w:rsidR="00A1615A" w:rsidRPr="00C86C05">
        <w:rPr>
          <w:rFonts w:ascii="Arial" w:hAnsi="Arial" w:cs="Arial"/>
          <w:sz w:val="20"/>
          <w:szCs w:val="20"/>
          <w:lang w:val="tr-TR"/>
        </w:rPr>
        <w:t xml:space="preserve">k çalışanı olan il </w:t>
      </w:r>
      <w:r w:rsidR="00B01CD2">
        <w:rPr>
          <w:rFonts w:ascii="Arial" w:hAnsi="Arial" w:cs="Arial"/>
          <w:sz w:val="20"/>
          <w:szCs w:val="20"/>
          <w:lang w:val="tr-TR"/>
        </w:rPr>
        <w:t>Çankırı</w:t>
      </w:r>
      <w:r w:rsidR="007E75C9" w:rsidRPr="00C86C05">
        <w:rPr>
          <w:rFonts w:ascii="Arial" w:hAnsi="Arial" w:cs="Arial"/>
          <w:sz w:val="20"/>
          <w:szCs w:val="20"/>
          <w:lang w:val="tr-TR"/>
        </w:rPr>
        <w:t>’</w:t>
      </w:r>
      <w:r w:rsidR="00B01CD2">
        <w:rPr>
          <w:rFonts w:ascii="Arial" w:hAnsi="Arial" w:cs="Arial"/>
          <w:sz w:val="20"/>
          <w:szCs w:val="20"/>
          <w:lang w:val="tr-TR"/>
        </w:rPr>
        <w:t>dı</w:t>
      </w:r>
      <w:r w:rsidR="007E75C9" w:rsidRPr="00C86C05">
        <w:rPr>
          <w:rFonts w:ascii="Arial" w:hAnsi="Arial" w:cs="Arial"/>
          <w:sz w:val="20"/>
          <w:szCs w:val="20"/>
          <w:lang w:val="tr-TR"/>
        </w:rPr>
        <w:t>r (10</w:t>
      </w:r>
      <w:r w:rsidR="00B01CD2">
        <w:rPr>
          <w:rFonts w:ascii="Arial" w:hAnsi="Arial" w:cs="Arial"/>
          <w:sz w:val="20"/>
          <w:szCs w:val="20"/>
          <w:lang w:val="tr-TR"/>
        </w:rPr>
        <w:t>9</w:t>
      </w:r>
      <w:r w:rsidR="007E75C9" w:rsidRPr="00C86C05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5</w:t>
      </w:r>
      <w:r w:rsidR="007E75C9" w:rsidRPr="00C86C05">
        <w:rPr>
          <w:rFonts w:ascii="Arial" w:hAnsi="Arial" w:cs="Arial"/>
          <w:sz w:val="20"/>
          <w:szCs w:val="20"/>
          <w:lang w:val="tr-TR"/>
        </w:rPr>
        <w:t>)</w:t>
      </w:r>
      <w:r w:rsidR="002F2922" w:rsidRPr="00C86C05">
        <w:rPr>
          <w:rFonts w:ascii="Arial" w:hAnsi="Arial" w:cs="Arial"/>
          <w:sz w:val="20"/>
          <w:szCs w:val="20"/>
          <w:lang w:val="tr-TR"/>
        </w:rPr>
        <w:t>. Da</w:t>
      </w:r>
      <w:r w:rsidR="00A1615A" w:rsidRPr="00C86C05">
        <w:rPr>
          <w:rFonts w:ascii="Arial" w:hAnsi="Arial" w:cs="Arial"/>
          <w:sz w:val="20"/>
          <w:szCs w:val="20"/>
          <w:lang w:val="tr-TR"/>
        </w:rPr>
        <w:t>ha sonra sırası i</w:t>
      </w:r>
      <w:r w:rsidR="00B567E5" w:rsidRPr="00C86C05">
        <w:rPr>
          <w:rFonts w:ascii="Arial" w:hAnsi="Arial" w:cs="Arial"/>
          <w:sz w:val="20"/>
          <w:szCs w:val="20"/>
          <w:lang w:val="tr-TR"/>
        </w:rPr>
        <w:t>le</w:t>
      </w:r>
      <w:r w:rsidR="007E75C9" w:rsidRPr="00C86C05">
        <w:rPr>
          <w:rFonts w:ascii="Arial" w:hAnsi="Arial" w:cs="Arial"/>
          <w:sz w:val="20"/>
          <w:szCs w:val="20"/>
          <w:lang w:val="tr-TR"/>
        </w:rPr>
        <w:t xml:space="preserve"> </w:t>
      </w:r>
      <w:r w:rsidR="00B01CD2">
        <w:rPr>
          <w:rFonts w:ascii="Arial" w:hAnsi="Arial" w:cs="Arial"/>
          <w:sz w:val="20"/>
          <w:szCs w:val="20"/>
          <w:lang w:val="tr-TR"/>
        </w:rPr>
        <w:t>Zonguldak</w:t>
      </w:r>
      <w:r w:rsidR="007E75C9" w:rsidRPr="00C86C05">
        <w:rPr>
          <w:rFonts w:ascii="Arial" w:hAnsi="Arial" w:cs="Arial"/>
          <w:sz w:val="20"/>
          <w:szCs w:val="20"/>
          <w:lang w:val="tr-TR"/>
        </w:rPr>
        <w:t xml:space="preserve"> (100,</w:t>
      </w:r>
      <w:r w:rsidR="00B01CD2">
        <w:rPr>
          <w:rFonts w:ascii="Arial" w:hAnsi="Arial" w:cs="Arial"/>
          <w:sz w:val="20"/>
          <w:szCs w:val="20"/>
          <w:lang w:val="tr-TR"/>
        </w:rPr>
        <w:t>8</w:t>
      </w:r>
      <w:r w:rsidR="007E75C9" w:rsidRPr="00C86C05">
        <w:rPr>
          <w:rFonts w:ascii="Arial" w:hAnsi="Arial" w:cs="Arial"/>
          <w:sz w:val="20"/>
          <w:szCs w:val="20"/>
          <w:lang w:val="tr-TR"/>
        </w:rPr>
        <w:t>)</w:t>
      </w:r>
      <w:r w:rsidR="002A6A66" w:rsidRPr="00C86C05">
        <w:rPr>
          <w:rFonts w:ascii="Arial" w:hAnsi="Arial" w:cs="Arial"/>
          <w:sz w:val="20"/>
          <w:szCs w:val="20"/>
          <w:lang w:val="tr-TR"/>
        </w:rPr>
        <w:t>,</w:t>
      </w:r>
      <w:r w:rsidR="002534A8" w:rsidRPr="00C86C05">
        <w:rPr>
          <w:rFonts w:ascii="Arial" w:hAnsi="Arial" w:cs="Arial"/>
          <w:sz w:val="20"/>
          <w:szCs w:val="20"/>
          <w:lang w:val="tr-TR"/>
        </w:rPr>
        <w:t xml:space="preserve"> </w:t>
      </w:r>
      <w:r w:rsidR="00B01CD2">
        <w:rPr>
          <w:rFonts w:ascii="Arial" w:hAnsi="Arial" w:cs="Arial"/>
          <w:sz w:val="20"/>
          <w:szCs w:val="20"/>
          <w:lang w:val="tr-TR"/>
        </w:rPr>
        <w:t>Kırklareli</w:t>
      </w:r>
      <w:r w:rsidR="002A6A66" w:rsidRPr="00C86C05">
        <w:rPr>
          <w:rFonts w:ascii="Arial" w:hAnsi="Arial" w:cs="Arial"/>
          <w:sz w:val="20"/>
          <w:szCs w:val="20"/>
          <w:lang w:val="tr-TR"/>
        </w:rPr>
        <w:t xml:space="preserve"> (</w:t>
      </w:r>
      <w:r w:rsidR="007E75C9" w:rsidRPr="00C86C05">
        <w:rPr>
          <w:rFonts w:ascii="Arial" w:hAnsi="Arial" w:cs="Arial"/>
          <w:sz w:val="20"/>
          <w:szCs w:val="20"/>
          <w:lang w:val="tr-TR"/>
        </w:rPr>
        <w:t>9</w:t>
      </w:r>
      <w:r w:rsidR="00B01CD2">
        <w:rPr>
          <w:rFonts w:ascii="Arial" w:hAnsi="Arial" w:cs="Arial"/>
          <w:sz w:val="20"/>
          <w:szCs w:val="20"/>
          <w:lang w:val="tr-TR"/>
        </w:rPr>
        <w:t>4</w:t>
      </w:r>
      <w:r w:rsidR="00A02BEB" w:rsidRPr="00C86C05">
        <w:rPr>
          <w:rFonts w:ascii="Arial" w:hAnsi="Arial" w:cs="Arial"/>
          <w:sz w:val="20"/>
          <w:szCs w:val="20"/>
          <w:lang w:val="tr-TR"/>
        </w:rPr>
        <w:t>,</w:t>
      </w:r>
      <w:r w:rsidR="00B01CD2">
        <w:rPr>
          <w:rFonts w:ascii="Arial" w:hAnsi="Arial" w:cs="Arial"/>
          <w:sz w:val="20"/>
          <w:szCs w:val="20"/>
          <w:lang w:val="tr-TR"/>
        </w:rPr>
        <w:t>9</w:t>
      </w:r>
      <w:r w:rsidR="002A6A66" w:rsidRPr="00C86C05">
        <w:rPr>
          <w:rFonts w:ascii="Arial" w:hAnsi="Arial" w:cs="Arial"/>
          <w:sz w:val="20"/>
          <w:szCs w:val="20"/>
          <w:lang w:val="tr-TR"/>
        </w:rPr>
        <w:t xml:space="preserve">), </w:t>
      </w:r>
      <w:r w:rsidR="00B01CD2">
        <w:rPr>
          <w:rFonts w:ascii="Arial" w:hAnsi="Arial" w:cs="Arial"/>
          <w:sz w:val="20"/>
          <w:szCs w:val="20"/>
          <w:lang w:val="tr-TR"/>
        </w:rPr>
        <w:t>Bilecik</w:t>
      </w:r>
      <w:r w:rsidR="00A02BEB" w:rsidRPr="00C86C05">
        <w:rPr>
          <w:rFonts w:ascii="Arial" w:hAnsi="Arial" w:cs="Arial"/>
          <w:sz w:val="20"/>
          <w:szCs w:val="20"/>
          <w:lang w:val="tr-TR"/>
        </w:rPr>
        <w:t xml:space="preserve"> (</w:t>
      </w:r>
      <w:r w:rsidR="007E75C9" w:rsidRPr="00C86C05">
        <w:rPr>
          <w:rFonts w:ascii="Arial" w:hAnsi="Arial" w:cs="Arial"/>
          <w:sz w:val="20"/>
          <w:szCs w:val="20"/>
          <w:lang w:val="tr-TR"/>
        </w:rPr>
        <w:t>8</w:t>
      </w:r>
      <w:r w:rsidR="00B01CD2">
        <w:rPr>
          <w:rFonts w:ascii="Arial" w:hAnsi="Arial" w:cs="Arial"/>
          <w:sz w:val="20"/>
          <w:szCs w:val="20"/>
          <w:lang w:val="tr-TR"/>
        </w:rPr>
        <w:t>7</w:t>
      </w:r>
      <w:r w:rsidR="00A02BEB" w:rsidRPr="00C86C05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7</w:t>
      </w:r>
      <w:r w:rsidR="00A02BEB" w:rsidRPr="00C86C05">
        <w:rPr>
          <w:rFonts w:ascii="Arial" w:hAnsi="Arial" w:cs="Arial"/>
          <w:sz w:val="20"/>
          <w:szCs w:val="20"/>
          <w:lang w:val="tr-TR"/>
        </w:rPr>
        <w:t>),</w:t>
      </w:r>
      <w:r w:rsidR="00F158F7" w:rsidRPr="00C86C05">
        <w:rPr>
          <w:rFonts w:ascii="Arial" w:hAnsi="Arial" w:cs="Arial"/>
          <w:sz w:val="20"/>
          <w:szCs w:val="20"/>
          <w:lang w:val="tr-TR"/>
        </w:rPr>
        <w:t xml:space="preserve"> </w:t>
      </w:r>
      <w:r w:rsidR="00B01CD2">
        <w:rPr>
          <w:rFonts w:ascii="Arial" w:hAnsi="Arial" w:cs="Arial"/>
          <w:sz w:val="20"/>
          <w:szCs w:val="20"/>
          <w:lang w:val="tr-TR"/>
        </w:rPr>
        <w:t>Tekirdağ</w:t>
      </w:r>
      <w:r w:rsidR="00A0019D" w:rsidRPr="00C86C05">
        <w:rPr>
          <w:rFonts w:ascii="Arial" w:hAnsi="Arial" w:cs="Arial"/>
          <w:sz w:val="20"/>
          <w:szCs w:val="20"/>
          <w:lang w:val="tr-TR"/>
        </w:rPr>
        <w:t xml:space="preserve"> </w:t>
      </w:r>
      <w:r w:rsidR="002534A8" w:rsidRPr="00C86C05">
        <w:rPr>
          <w:rFonts w:ascii="Arial" w:hAnsi="Arial" w:cs="Arial"/>
          <w:sz w:val="20"/>
          <w:szCs w:val="20"/>
          <w:lang w:val="tr-TR"/>
        </w:rPr>
        <w:t>(</w:t>
      </w:r>
      <w:r w:rsidR="00B01CD2">
        <w:rPr>
          <w:rFonts w:ascii="Arial" w:hAnsi="Arial" w:cs="Arial"/>
          <w:sz w:val="20"/>
          <w:szCs w:val="20"/>
          <w:lang w:val="tr-TR"/>
        </w:rPr>
        <w:t>84</w:t>
      </w:r>
      <w:r w:rsidR="002A6A66" w:rsidRPr="00C86C05">
        <w:rPr>
          <w:rFonts w:ascii="Arial" w:hAnsi="Arial" w:cs="Arial"/>
          <w:sz w:val="20"/>
          <w:szCs w:val="20"/>
          <w:lang w:val="tr-TR"/>
        </w:rPr>
        <w:t>,</w:t>
      </w:r>
      <w:r w:rsidR="00B634D0">
        <w:rPr>
          <w:rFonts w:ascii="Arial" w:hAnsi="Arial" w:cs="Arial"/>
          <w:sz w:val="20"/>
          <w:szCs w:val="20"/>
          <w:lang w:val="tr-TR"/>
        </w:rPr>
        <w:t>3</w:t>
      </w:r>
      <w:r w:rsidR="002A6A66" w:rsidRPr="00C86C05">
        <w:rPr>
          <w:rFonts w:ascii="Arial" w:hAnsi="Arial" w:cs="Arial"/>
          <w:sz w:val="20"/>
          <w:szCs w:val="20"/>
          <w:lang w:val="tr-TR"/>
        </w:rPr>
        <w:t>)</w:t>
      </w:r>
      <w:r w:rsidR="007367AF" w:rsidRPr="00C86C05">
        <w:rPr>
          <w:rFonts w:ascii="Arial" w:hAnsi="Arial" w:cs="Arial"/>
          <w:sz w:val="20"/>
          <w:szCs w:val="20"/>
          <w:lang w:val="tr-TR"/>
        </w:rPr>
        <w:t xml:space="preserve"> </w:t>
      </w:r>
      <w:r w:rsidR="002F2922" w:rsidRPr="00C86C05">
        <w:rPr>
          <w:rFonts w:ascii="Arial" w:hAnsi="Arial" w:cs="Arial"/>
          <w:sz w:val="20"/>
          <w:szCs w:val="20"/>
          <w:lang w:val="tr-TR"/>
        </w:rPr>
        <w:t>gelmektedir.</w:t>
      </w:r>
    </w:p>
    <w:p w:rsidR="0049291A" w:rsidRPr="00232E4E" w:rsidRDefault="0049291A" w:rsidP="0049291A">
      <w:pPr>
        <w:pStyle w:val="ListeParagraf"/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  <w:lang w:val="tr-TR"/>
        </w:rPr>
      </w:pPr>
    </w:p>
    <w:p w:rsidR="0049291A" w:rsidRPr="003526D0" w:rsidRDefault="00D20195" w:rsidP="0049291A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lastRenderedPageBreak/>
        <w:t>2019-2020</w:t>
      </w:r>
      <w:r w:rsidR="0049291A" w:rsidRPr="003526D0">
        <w:rPr>
          <w:rFonts w:ascii="Arial" w:hAnsi="Arial" w:cs="Arial"/>
          <w:b/>
          <w:sz w:val="20"/>
          <w:szCs w:val="20"/>
          <w:lang w:val="tr-TR"/>
        </w:rPr>
        <w:t xml:space="preserve"> döneminde;</w:t>
      </w:r>
    </w:p>
    <w:p w:rsidR="0049291A" w:rsidRPr="003526D0" w:rsidRDefault="0049291A" w:rsidP="0049291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Yüksek teknoloji kapsamındak</w:t>
      </w:r>
      <w:r w:rsidR="00726CD9" w:rsidRPr="003526D0">
        <w:rPr>
          <w:rFonts w:ascii="Arial" w:hAnsi="Arial" w:cs="Arial"/>
          <w:sz w:val="20"/>
          <w:szCs w:val="20"/>
          <w:lang w:val="tr-TR"/>
        </w:rPr>
        <w:t>i sanayi tesislerinin oranı % 2,</w:t>
      </w:r>
      <w:r w:rsidR="00A032A4">
        <w:rPr>
          <w:rFonts w:ascii="Arial" w:hAnsi="Arial" w:cs="Arial"/>
          <w:sz w:val="20"/>
          <w:szCs w:val="20"/>
          <w:lang w:val="tr-TR"/>
        </w:rPr>
        <w:t>3</w:t>
      </w:r>
      <w:r w:rsidRPr="003526D0">
        <w:rPr>
          <w:rFonts w:ascii="Arial" w:hAnsi="Arial" w:cs="Arial"/>
          <w:sz w:val="20"/>
          <w:szCs w:val="20"/>
          <w:lang w:val="tr-TR"/>
        </w:rPr>
        <w:t>’</w:t>
      </w:r>
      <w:r w:rsidR="00B376B5">
        <w:rPr>
          <w:rFonts w:ascii="Arial" w:hAnsi="Arial" w:cs="Arial"/>
          <w:sz w:val="20"/>
          <w:szCs w:val="20"/>
          <w:lang w:val="tr-TR"/>
        </w:rPr>
        <w:t>t</w:t>
      </w:r>
      <w:r w:rsidR="00744E1F">
        <w:rPr>
          <w:rFonts w:ascii="Arial" w:hAnsi="Arial" w:cs="Arial"/>
          <w:sz w:val="20"/>
          <w:szCs w:val="20"/>
          <w:lang w:val="tr-TR"/>
        </w:rPr>
        <w:t>e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n % </w:t>
      </w:r>
      <w:r w:rsidR="00E77484" w:rsidRPr="003526D0">
        <w:rPr>
          <w:rFonts w:ascii="Arial" w:hAnsi="Arial" w:cs="Arial"/>
          <w:sz w:val="20"/>
          <w:szCs w:val="20"/>
          <w:lang w:val="tr-TR"/>
        </w:rPr>
        <w:t>2</w:t>
      </w:r>
      <w:r w:rsidRPr="003526D0">
        <w:rPr>
          <w:rFonts w:ascii="Arial" w:hAnsi="Arial" w:cs="Arial"/>
          <w:sz w:val="20"/>
          <w:szCs w:val="20"/>
          <w:lang w:val="tr-TR"/>
        </w:rPr>
        <w:t>,</w:t>
      </w:r>
      <w:r w:rsidR="009D411D">
        <w:rPr>
          <w:rFonts w:ascii="Arial" w:hAnsi="Arial" w:cs="Arial"/>
          <w:sz w:val="20"/>
          <w:szCs w:val="20"/>
          <w:lang w:val="tr-TR"/>
        </w:rPr>
        <w:t>4</w:t>
      </w:r>
      <w:r w:rsidRPr="003526D0">
        <w:rPr>
          <w:rFonts w:ascii="Arial" w:hAnsi="Arial" w:cs="Arial"/>
          <w:sz w:val="20"/>
          <w:szCs w:val="20"/>
          <w:lang w:val="tr-TR"/>
        </w:rPr>
        <w:t>’</w:t>
      </w:r>
      <w:r w:rsidR="00B376B5">
        <w:rPr>
          <w:rFonts w:ascii="Arial" w:hAnsi="Arial" w:cs="Arial"/>
          <w:sz w:val="20"/>
          <w:szCs w:val="20"/>
          <w:lang w:val="tr-TR"/>
        </w:rPr>
        <w:t>e artmış,</w:t>
      </w:r>
    </w:p>
    <w:p w:rsidR="0049291A" w:rsidRPr="003526D0" w:rsidRDefault="0049291A" w:rsidP="0049291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Orta-Yüksek teknoloji kapsamındaki sanayi tesislerinin oranı %</w:t>
      </w:r>
      <w:r w:rsidR="00744E1F">
        <w:rPr>
          <w:rFonts w:ascii="Arial" w:hAnsi="Arial" w:cs="Arial"/>
          <w:sz w:val="20"/>
          <w:szCs w:val="20"/>
          <w:lang w:val="tr-TR"/>
        </w:rPr>
        <w:t>2</w:t>
      </w:r>
      <w:r w:rsidR="00A032A4">
        <w:rPr>
          <w:rFonts w:ascii="Arial" w:hAnsi="Arial" w:cs="Arial"/>
          <w:sz w:val="20"/>
          <w:szCs w:val="20"/>
          <w:lang w:val="tr-TR"/>
        </w:rPr>
        <w:t>3</w:t>
      </w:r>
      <w:r w:rsidR="002B7BB3" w:rsidRPr="003526D0">
        <w:rPr>
          <w:rFonts w:ascii="Arial" w:hAnsi="Arial" w:cs="Arial"/>
          <w:sz w:val="20"/>
          <w:szCs w:val="20"/>
          <w:lang w:val="tr-TR"/>
        </w:rPr>
        <w:t>,</w:t>
      </w:r>
      <w:r w:rsidR="00A032A4">
        <w:rPr>
          <w:rFonts w:ascii="Arial" w:hAnsi="Arial" w:cs="Arial"/>
          <w:sz w:val="20"/>
          <w:szCs w:val="20"/>
          <w:lang w:val="tr-TR"/>
        </w:rPr>
        <w:t>4</w:t>
      </w:r>
      <w:r w:rsidR="00C34646" w:rsidRPr="003526D0">
        <w:rPr>
          <w:rFonts w:ascii="Arial" w:hAnsi="Arial" w:cs="Arial"/>
          <w:sz w:val="20"/>
          <w:szCs w:val="20"/>
          <w:lang w:val="tr-TR"/>
        </w:rPr>
        <w:t>’</w:t>
      </w:r>
      <w:r w:rsidR="00B376B5">
        <w:rPr>
          <w:rFonts w:ascii="Arial" w:hAnsi="Arial" w:cs="Arial"/>
          <w:sz w:val="20"/>
          <w:szCs w:val="20"/>
          <w:lang w:val="tr-TR"/>
        </w:rPr>
        <w:t>t</w:t>
      </w:r>
      <w:r w:rsidR="00A032A4">
        <w:rPr>
          <w:rFonts w:ascii="Arial" w:hAnsi="Arial" w:cs="Arial"/>
          <w:sz w:val="20"/>
          <w:szCs w:val="20"/>
          <w:lang w:val="tr-TR"/>
        </w:rPr>
        <w:t>en</w:t>
      </w:r>
      <w:r w:rsidR="00C34646" w:rsidRPr="003526D0">
        <w:rPr>
          <w:rFonts w:ascii="Arial" w:hAnsi="Arial" w:cs="Arial"/>
          <w:sz w:val="20"/>
          <w:szCs w:val="20"/>
          <w:lang w:val="tr-TR"/>
        </w:rPr>
        <w:t xml:space="preserve"> %</w:t>
      </w:r>
      <w:r w:rsidR="00744E1F">
        <w:rPr>
          <w:rFonts w:ascii="Arial" w:hAnsi="Arial" w:cs="Arial"/>
          <w:sz w:val="20"/>
          <w:szCs w:val="20"/>
          <w:lang w:val="tr-TR"/>
        </w:rPr>
        <w:t>2</w:t>
      </w:r>
      <w:r w:rsidR="00A032A4">
        <w:rPr>
          <w:rFonts w:ascii="Arial" w:hAnsi="Arial" w:cs="Arial"/>
          <w:sz w:val="20"/>
          <w:szCs w:val="20"/>
          <w:lang w:val="tr-TR"/>
        </w:rPr>
        <w:t>4</w:t>
      </w:r>
      <w:r w:rsidRPr="003526D0">
        <w:rPr>
          <w:rFonts w:ascii="Arial" w:hAnsi="Arial" w:cs="Arial"/>
          <w:sz w:val="20"/>
          <w:szCs w:val="20"/>
          <w:lang w:val="tr-TR"/>
        </w:rPr>
        <w:t>’</w:t>
      </w:r>
      <w:r w:rsidR="00744E1F">
        <w:rPr>
          <w:rFonts w:ascii="Arial" w:hAnsi="Arial" w:cs="Arial"/>
          <w:sz w:val="20"/>
          <w:szCs w:val="20"/>
          <w:lang w:val="tr-TR"/>
        </w:rPr>
        <w:t>e</w:t>
      </w:r>
      <w:r w:rsidR="00B376B5">
        <w:rPr>
          <w:rFonts w:ascii="Arial" w:hAnsi="Arial" w:cs="Arial"/>
          <w:sz w:val="20"/>
          <w:szCs w:val="20"/>
          <w:lang w:val="tr-TR"/>
        </w:rPr>
        <w:t xml:space="preserve"> artmış,</w:t>
      </w:r>
    </w:p>
    <w:p w:rsidR="0049291A" w:rsidRPr="003526D0" w:rsidRDefault="0049291A" w:rsidP="0049291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Orta-Düşük teknoloji kapsamındaki sanayi tesislerini</w:t>
      </w:r>
      <w:r w:rsidR="0042699E" w:rsidRPr="003526D0">
        <w:rPr>
          <w:rFonts w:ascii="Arial" w:hAnsi="Arial" w:cs="Arial"/>
          <w:sz w:val="20"/>
          <w:szCs w:val="20"/>
          <w:lang w:val="tr-TR"/>
        </w:rPr>
        <w:t>n oranı %</w:t>
      </w:r>
      <w:r w:rsidR="00D95DE1" w:rsidRPr="003526D0">
        <w:rPr>
          <w:rFonts w:ascii="Arial" w:hAnsi="Arial" w:cs="Arial"/>
          <w:sz w:val="20"/>
          <w:szCs w:val="20"/>
          <w:lang w:val="tr-TR"/>
        </w:rPr>
        <w:t>3</w:t>
      </w:r>
      <w:r w:rsidR="00450336">
        <w:rPr>
          <w:rFonts w:ascii="Arial" w:hAnsi="Arial" w:cs="Arial"/>
          <w:sz w:val="20"/>
          <w:szCs w:val="20"/>
          <w:lang w:val="tr-TR"/>
        </w:rPr>
        <w:t>1</w:t>
      </w:r>
      <w:r w:rsidR="00D95DE1" w:rsidRPr="003526D0">
        <w:rPr>
          <w:rFonts w:ascii="Arial" w:hAnsi="Arial" w:cs="Arial"/>
          <w:sz w:val="20"/>
          <w:szCs w:val="20"/>
          <w:lang w:val="tr-TR"/>
        </w:rPr>
        <w:t>,</w:t>
      </w:r>
      <w:r w:rsidR="00B376B5">
        <w:rPr>
          <w:rFonts w:ascii="Arial" w:hAnsi="Arial" w:cs="Arial"/>
          <w:sz w:val="20"/>
          <w:szCs w:val="20"/>
          <w:lang w:val="tr-TR"/>
        </w:rPr>
        <w:t>6</w:t>
      </w:r>
      <w:r w:rsidR="00C34646" w:rsidRPr="003526D0">
        <w:rPr>
          <w:rFonts w:ascii="Arial" w:hAnsi="Arial" w:cs="Arial"/>
          <w:sz w:val="20"/>
          <w:szCs w:val="20"/>
          <w:lang w:val="tr-TR"/>
        </w:rPr>
        <w:t>’d</w:t>
      </w:r>
      <w:r w:rsidR="00B376B5">
        <w:rPr>
          <w:rFonts w:ascii="Arial" w:hAnsi="Arial" w:cs="Arial"/>
          <w:sz w:val="20"/>
          <w:szCs w:val="20"/>
          <w:lang w:val="tr-TR"/>
        </w:rPr>
        <w:t>a</w:t>
      </w:r>
      <w:r w:rsidR="00C34646" w:rsidRPr="003526D0">
        <w:rPr>
          <w:rFonts w:ascii="Arial" w:hAnsi="Arial" w:cs="Arial"/>
          <w:sz w:val="20"/>
          <w:szCs w:val="20"/>
          <w:lang w:val="tr-TR"/>
        </w:rPr>
        <w:t>n %3</w:t>
      </w:r>
      <w:r w:rsidR="009D411D">
        <w:rPr>
          <w:rFonts w:ascii="Arial" w:hAnsi="Arial" w:cs="Arial"/>
          <w:sz w:val="20"/>
          <w:szCs w:val="20"/>
          <w:lang w:val="tr-TR"/>
        </w:rPr>
        <w:t>1</w:t>
      </w:r>
      <w:r w:rsidR="00C34646" w:rsidRPr="003526D0">
        <w:rPr>
          <w:rFonts w:ascii="Arial" w:hAnsi="Arial" w:cs="Arial"/>
          <w:sz w:val="20"/>
          <w:szCs w:val="20"/>
          <w:lang w:val="tr-TR"/>
        </w:rPr>
        <w:t>’e</w:t>
      </w:r>
      <w:r w:rsidR="004543AA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B376B5">
        <w:rPr>
          <w:rFonts w:ascii="Arial" w:hAnsi="Arial" w:cs="Arial"/>
          <w:sz w:val="20"/>
          <w:szCs w:val="20"/>
          <w:lang w:val="tr-TR"/>
        </w:rPr>
        <w:t>düşmüş,</w:t>
      </w:r>
    </w:p>
    <w:p w:rsidR="0049291A" w:rsidRPr="003526D0" w:rsidRDefault="00E04176" w:rsidP="0049291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Düşük teknoloji kapsamındaki sanayi tesislerinin oranı %</w:t>
      </w:r>
      <w:r w:rsidR="006E449F">
        <w:rPr>
          <w:rFonts w:ascii="Arial" w:hAnsi="Arial" w:cs="Arial"/>
          <w:sz w:val="20"/>
          <w:szCs w:val="20"/>
          <w:lang w:val="tr-TR"/>
        </w:rPr>
        <w:t>42</w:t>
      </w:r>
      <w:r w:rsidRPr="003526D0">
        <w:rPr>
          <w:rFonts w:ascii="Arial" w:hAnsi="Arial" w:cs="Arial"/>
          <w:sz w:val="20"/>
          <w:szCs w:val="20"/>
          <w:lang w:val="tr-TR"/>
        </w:rPr>
        <w:t>,</w:t>
      </w:r>
      <w:r w:rsidR="006E449F">
        <w:rPr>
          <w:rFonts w:ascii="Arial" w:hAnsi="Arial" w:cs="Arial"/>
          <w:sz w:val="20"/>
          <w:szCs w:val="20"/>
          <w:lang w:val="tr-TR"/>
        </w:rPr>
        <w:t>7</w:t>
      </w:r>
      <w:r w:rsidR="00D95DE1" w:rsidRPr="003526D0">
        <w:rPr>
          <w:rFonts w:ascii="Arial" w:hAnsi="Arial" w:cs="Arial"/>
          <w:sz w:val="20"/>
          <w:szCs w:val="20"/>
          <w:lang w:val="tr-TR"/>
        </w:rPr>
        <w:t>’</w:t>
      </w:r>
      <w:r w:rsidR="00BD2D08" w:rsidRPr="003526D0">
        <w:rPr>
          <w:rFonts w:ascii="Arial" w:hAnsi="Arial" w:cs="Arial"/>
          <w:sz w:val="20"/>
          <w:szCs w:val="20"/>
          <w:lang w:val="tr-TR"/>
        </w:rPr>
        <w:t>d</w:t>
      </w:r>
      <w:r w:rsidR="00744E1F">
        <w:rPr>
          <w:rFonts w:ascii="Arial" w:hAnsi="Arial" w:cs="Arial"/>
          <w:sz w:val="20"/>
          <w:szCs w:val="20"/>
          <w:lang w:val="tr-TR"/>
        </w:rPr>
        <w:t>e</w:t>
      </w:r>
      <w:r w:rsidR="00D95DE1" w:rsidRPr="003526D0">
        <w:rPr>
          <w:rFonts w:ascii="Arial" w:hAnsi="Arial" w:cs="Arial"/>
          <w:sz w:val="20"/>
          <w:szCs w:val="20"/>
          <w:lang w:val="tr-TR"/>
        </w:rPr>
        <w:t>n</w:t>
      </w:r>
      <w:r w:rsidR="00B376B5">
        <w:rPr>
          <w:rFonts w:ascii="Arial" w:hAnsi="Arial" w:cs="Arial"/>
          <w:sz w:val="20"/>
          <w:szCs w:val="20"/>
          <w:lang w:val="tr-TR"/>
        </w:rPr>
        <w:t xml:space="preserve"> </w:t>
      </w:r>
      <w:r w:rsidR="00BD2D08" w:rsidRPr="003526D0">
        <w:rPr>
          <w:rFonts w:ascii="Arial" w:hAnsi="Arial" w:cs="Arial"/>
          <w:sz w:val="20"/>
          <w:szCs w:val="20"/>
          <w:lang w:val="tr-TR"/>
        </w:rPr>
        <w:t>%</w:t>
      </w:r>
      <w:r w:rsidR="006E449F">
        <w:rPr>
          <w:rFonts w:ascii="Arial" w:hAnsi="Arial" w:cs="Arial"/>
          <w:sz w:val="20"/>
          <w:szCs w:val="20"/>
          <w:lang w:val="tr-TR"/>
        </w:rPr>
        <w:t>44</w:t>
      </w:r>
      <w:r w:rsidR="00744E1F">
        <w:rPr>
          <w:rFonts w:ascii="Arial" w:hAnsi="Arial" w:cs="Arial"/>
          <w:sz w:val="20"/>
          <w:szCs w:val="20"/>
          <w:lang w:val="tr-TR"/>
        </w:rPr>
        <w:t>’</w:t>
      </w:r>
      <w:r w:rsidR="00E736F3" w:rsidRPr="003526D0">
        <w:rPr>
          <w:rFonts w:ascii="Arial" w:hAnsi="Arial" w:cs="Arial"/>
          <w:sz w:val="20"/>
          <w:szCs w:val="20"/>
          <w:lang w:val="tr-TR"/>
        </w:rPr>
        <w:t>e</w:t>
      </w:r>
      <w:r w:rsidR="00BD2D08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B376B5">
        <w:rPr>
          <w:rFonts w:ascii="Arial" w:hAnsi="Arial" w:cs="Arial"/>
          <w:sz w:val="20"/>
          <w:szCs w:val="20"/>
          <w:lang w:val="tr-TR"/>
        </w:rPr>
        <w:t>artmıştır.</w:t>
      </w:r>
    </w:p>
    <w:p w:rsidR="0064735D" w:rsidRPr="003526D0" w:rsidRDefault="0064735D" w:rsidP="006473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64735D" w:rsidRPr="003526D0" w:rsidRDefault="00693BA5" w:rsidP="006473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2020</w:t>
      </w:r>
      <w:r w:rsidR="0064735D" w:rsidRPr="003526D0">
        <w:rPr>
          <w:rFonts w:ascii="Arial" w:hAnsi="Arial" w:cs="Arial"/>
          <w:b/>
          <w:sz w:val="20"/>
          <w:szCs w:val="20"/>
          <w:lang w:val="tr-TR"/>
        </w:rPr>
        <w:t xml:space="preserve"> yılı sonu itibariyle Kapasite Raporlarının </w:t>
      </w:r>
      <w:r>
        <w:rPr>
          <w:rFonts w:ascii="Arial" w:hAnsi="Arial" w:cs="Arial"/>
          <w:b/>
          <w:sz w:val="20"/>
          <w:szCs w:val="20"/>
          <w:lang w:val="tr-TR"/>
        </w:rPr>
        <w:t>2.119</w:t>
      </w:r>
      <w:r w:rsidR="0064735D" w:rsidRPr="003526D0">
        <w:rPr>
          <w:rFonts w:ascii="Arial" w:hAnsi="Arial" w:cs="Arial"/>
          <w:b/>
          <w:sz w:val="20"/>
          <w:szCs w:val="20"/>
          <w:lang w:val="tr-TR"/>
        </w:rPr>
        <w:t>’</w:t>
      </w:r>
      <w:r>
        <w:rPr>
          <w:rFonts w:ascii="Arial" w:hAnsi="Arial" w:cs="Arial"/>
          <w:b/>
          <w:sz w:val="20"/>
          <w:szCs w:val="20"/>
          <w:lang w:val="tr-TR"/>
        </w:rPr>
        <w:t>u</w:t>
      </w:r>
      <w:r w:rsidR="0064735D" w:rsidRPr="003526D0">
        <w:rPr>
          <w:rFonts w:ascii="Arial" w:hAnsi="Arial" w:cs="Arial"/>
          <w:b/>
          <w:sz w:val="20"/>
          <w:szCs w:val="20"/>
          <w:lang w:val="tr-TR"/>
        </w:rPr>
        <w:t xml:space="preserve"> yüksek teknoloji konularında düzenlenmiştir. </w:t>
      </w:r>
    </w:p>
    <w:p w:rsidR="0064735D" w:rsidRPr="003526D0" w:rsidRDefault="0064735D" w:rsidP="0064735D">
      <w:pPr>
        <w:pStyle w:val="ListeParagr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 xml:space="preserve">Geçerli olan Kapasite Raporlarına göre </w:t>
      </w:r>
      <w:r w:rsidR="00693BA5">
        <w:rPr>
          <w:rFonts w:ascii="Arial" w:hAnsi="Arial" w:cs="Arial"/>
          <w:sz w:val="20"/>
          <w:szCs w:val="20"/>
          <w:lang w:val="tr-TR"/>
        </w:rPr>
        <w:t>2</w:t>
      </w:r>
      <w:r w:rsidRPr="003526D0">
        <w:rPr>
          <w:rFonts w:ascii="Arial" w:hAnsi="Arial" w:cs="Arial"/>
          <w:sz w:val="20"/>
          <w:szCs w:val="20"/>
          <w:lang w:val="tr-TR"/>
        </w:rPr>
        <w:t>.</w:t>
      </w:r>
      <w:r w:rsidR="00693BA5">
        <w:rPr>
          <w:rFonts w:ascii="Arial" w:hAnsi="Arial" w:cs="Arial"/>
          <w:sz w:val="20"/>
          <w:szCs w:val="20"/>
          <w:lang w:val="tr-TR"/>
        </w:rPr>
        <w:t>119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Kapasite Raporu yüksek teknoloji ürünleri, </w:t>
      </w:r>
      <w:r w:rsidR="00693BA5">
        <w:rPr>
          <w:rFonts w:ascii="Arial" w:hAnsi="Arial" w:cs="Arial"/>
          <w:sz w:val="20"/>
          <w:szCs w:val="20"/>
          <w:lang w:val="tr-TR"/>
        </w:rPr>
        <w:t>21</w:t>
      </w:r>
      <w:r w:rsidRPr="003526D0">
        <w:rPr>
          <w:rFonts w:ascii="Arial" w:hAnsi="Arial" w:cs="Arial"/>
          <w:sz w:val="20"/>
          <w:szCs w:val="20"/>
          <w:lang w:val="tr-TR"/>
        </w:rPr>
        <w:t>.</w:t>
      </w:r>
      <w:r w:rsidR="00693BA5">
        <w:rPr>
          <w:rFonts w:ascii="Arial" w:hAnsi="Arial" w:cs="Arial"/>
          <w:sz w:val="20"/>
          <w:szCs w:val="20"/>
          <w:lang w:val="tr-TR"/>
        </w:rPr>
        <w:t>162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Kapasite Raporu orta-yüksek teknoloji, </w:t>
      </w:r>
      <w:r w:rsidR="00C80CCC">
        <w:rPr>
          <w:rFonts w:ascii="Arial" w:hAnsi="Arial" w:cs="Arial"/>
          <w:sz w:val="20"/>
          <w:szCs w:val="20"/>
          <w:lang w:val="tr-TR"/>
        </w:rPr>
        <w:t>2</w:t>
      </w:r>
      <w:r w:rsidR="00693BA5">
        <w:rPr>
          <w:rFonts w:ascii="Arial" w:hAnsi="Arial" w:cs="Arial"/>
          <w:sz w:val="20"/>
          <w:szCs w:val="20"/>
          <w:lang w:val="tr-TR"/>
        </w:rPr>
        <w:t>7</w:t>
      </w:r>
      <w:r w:rsidRPr="003526D0">
        <w:rPr>
          <w:rFonts w:ascii="Arial" w:hAnsi="Arial" w:cs="Arial"/>
          <w:sz w:val="20"/>
          <w:szCs w:val="20"/>
          <w:lang w:val="tr-TR"/>
        </w:rPr>
        <w:t>.</w:t>
      </w:r>
      <w:r w:rsidR="00693BA5">
        <w:rPr>
          <w:rFonts w:ascii="Arial" w:hAnsi="Arial" w:cs="Arial"/>
          <w:sz w:val="20"/>
          <w:szCs w:val="20"/>
          <w:lang w:val="tr-TR"/>
        </w:rPr>
        <w:t>316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Kapasite Raporu orta-düşük teknoloji ve </w:t>
      </w:r>
      <w:r w:rsidR="00C80CCC">
        <w:rPr>
          <w:rFonts w:ascii="Arial" w:hAnsi="Arial" w:cs="Arial"/>
          <w:sz w:val="20"/>
          <w:szCs w:val="20"/>
          <w:lang w:val="tr-TR"/>
        </w:rPr>
        <w:t>3</w:t>
      </w:r>
      <w:r w:rsidR="00693BA5">
        <w:rPr>
          <w:rFonts w:ascii="Arial" w:hAnsi="Arial" w:cs="Arial"/>
          <w:sz w:val="20"/>
          <w:szCs w:val="20"/>
          <w:lang w:val="tr-TR"/>
        </w:rPr>
        <w:t>7</w:t>
      </w:r>
      <w:r w:rsidR="00C80CCC">
        <w:rPr>
          <w:rFonts w:ascii="Arial" w:hAnsi="Arial" w:cs="Arial"/>
          <w:sz w:val="20"/>
          <w:szCs w:val="20"/>
          <w:lang w:val="tr-TR"/>
        </w:rPr>
        <w:t>.</w:t>
      </w:r>
      <w:r w:rsidR="00693BA5">
        <w:rPr>
          <w:rFonts w:ascii="Arial" w:hAnsi="Arial" w:cs="Arial"/>
          <w:sz w:val="20"/>
          <w:szCs w:val="20"/>
          <w:lang w:val="tr-TR"/>
        </w:rPr>
        <w:t>515</w:t>
      </w:r>
      <w:r w:rsidR="0014552E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Pr="003526D0">
        <w:rPr>
          <w:rFonts w:ascii="Arial" w:hAnsi="Arial" w:cs="Arial"/>
          <w:sz w:val="20"/>
          <w:szCs w:val="20"/>
          <w:lang w:val="tr-TR"/>
        </w:rPr>
        <w:t>Kapasite Raporu düşük teknoloji konusunda düzenlenmiştir.</w:t>
      </w:r>
    </w:p>
    <w:p w:rsidR="00D95DE1" w:rsidRPr="003526D0" w:rsidRDefault="00D95DE1" w:rsidP="00D95DE1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2F2922" w:rsidRPr="003526D0" w:rsidRDefault="00693BA5" w:rsidP="004B39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2020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 yılı sonu itibariyle en çok kapasite raporu “</w:t>
      </w:r>
      <w:r w:rsidR="002C770E" w:rsidRPr="003526D0">
        <w:rPr>
          <w:rFonts w:ascii="Arial" w:hAnsi="Arial" w:cs="Arial"/>
          <w:b/>
          <w:sz w:val="20"/>
          <w:szCs w:val="20"/>
          <w:lang w:val="tr-TR"/>
        </w:rPr>
        <w:t>Fabrikasyon metal ürünleri imalatı (makine ve teçhizat hariç)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” konusunda yapılmıştır. </w:t>
      </w:r>
    </w:p>
    <w:p w:rsidR="002F2922" w:rsidRPr="003526D0" w:rsidRDefault="003C3462" w:rsidP="00800C4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En çok kapasite raporu %</w:t>
      </w:r>
      <w:r w:rsidR="009F477C">
        <w:rPr>
          <w:rFonts w:ascii="Arial" w:eastAsia="Times New Roman" w:hAnsi="Arial" w:cs="Arial"/>
          <w:sz w:val="20"/>
          <w:szCs w:val="20"/>
          <w:lang w:val="tr-TR" w:eastAsia="tr-TR"/>
        </w:rPr>
        <w:t>1</w:t>
      </w:r>
      <w:r w:rsidR="00EC6745">
        <w:rPr>
          <w:rFonts w:ascii="Arial" w:eastAsia="Times New Roman" w:hAnsi="Arial" w:cs="Arial"/>
          <w:sz w:val="20"/>
          <w:szCs w:val="20"/>
          <w:lang w:val="tr-TR" w:eastAsia="tr-TR"/>
        </w:rPr>
        <w:t>1</w:t>
      </w:r>
      <w:r w:rsidR="002F2922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oranında “</w:t>
      </w:r>
      <w:r w:rsidR="007C0000" w:rsidRPr="003526D0">
        <w:rPr>
          <w:rFonts w:ascii="Arial" w:eastAsia="Times New Roman" w:hAnsi="Arial" w:cs="Arial"/>
          <w:sz w:val="20"/>
          <w:szCs w:val="20"/>
          <w:lang w:val="tr-TR" w:eastAsia="tr-TR"/>
        </w:rPr>
        <w:t>Fabrikasyon metal ürünleri imalatı (makine ve teçhizat hariç)</w:t>
      </w:r>
      <w:r w:rsidR="002F2922" w:rsidRPr="003526D0">
        <w:rPr>
          <w:rFonts w:ascii="Arial" w:eastAsia="Times New Roman" w:hAnsi="Arial" w:cs="Arial"/>
          <w:sz w:val="20"/>
          <w:szCs w:val="20"/>
          <w:lang w:val="tr-TR" w:eastAsia="tr-TR"/>
        </w:rPr>
        <w:t>” faaliyet grubunda düzenlemiştir. Daha sonra en çok kodlanan faaliyet grupları sırası ile</w:t>
      </w:r>
      <w:r w:rsidR="00EC6745">
        <w:rPr>
          <w:rFonts w:ascii="Arial" w:eastAsia="Times New Roman" w:hAnsi="Arial" w:cs="Arial"/>
          <w:sz w:val="20"/>
          <w:szCs w:val="20"/>
          <w:lang w:val="tr-TR" w:eastAsia="tr-TR"/>
        </w:rPr>
        <w:t>;</w:t>
      </w:r>
      <w:r w:rsidR="002F2922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“</w:t>
      </w:r>
      <w:r w:rsidR="002F7E52" w:rsidRPr="003526D0">
        <w:rPr>
          <w:rFonts w:ascii="Arial" w:eastAsia="Times New Roman" w:hAnsi="Arial" w:cs="Arial"/>
          <w:sz w:val="20"/>
          <w:szCs w:val="20"/>
          <w:lang w:val="tr-TR" w:eastAsia="tr-TR"/>
        </w:rPr>
        <w:t>Gıda ürünlerinin imalatı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” %</w:t>
      </w:r>
      <w:r w:rsidR="00693BA5">
        <w:rPr>
          <w:rFonts w:ascii="Arial" w:eastAsia="Times New Roman" w:hAnsi="Arial" w:cs="Arial"/>
          <w:sz w:val="20"/>
          <w:szCs w:val="20"/>
          <w:lang w:val="tr-TR" w:eastAsia="tr-TR"/>
        </w:rPr>
        <w:t>9</w:t>
      </w:r>
      <w:r w:rsidR="00A52187" w:rsidRPr="003526D0">
        <w:rPr>
          <w:rFonts w:ascii="Arial" w:eastAsia="Times New Roman" w:hAnsi="Arial" w:cs="Arial"/>
          <w:sz w:val="20"/>
          <w:szCs w:val="20"/>
          <w:lang w:val="tr-TR" w:eastAsia="tr-TR"/>
        </w:rPr>
        <w:t>,</w:t>
      </w:r>
      <w:r w:rsidR="006F35F4">
        <w:rPr>
          <w:rFonts w:ascii="Arial" w:eastAsia="Times New Roman" w:hAnsi="Arial" w:cs="Arial"/>
          <w:sz w:val="20"/>
          <w:szCs w:val="20"/>
          <w:lang w:val="tr-TR" w:eastAsia="tr-TR"/>
        </w:rPr>
        <w:t>9</w:t>
      </w:r>
      <w:r w:rsidR="002F2922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, 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“</w:t>
      </w:r>
      <w:r w:rsidR="005221D8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Başka yerde sınıflandırılmamış makine ve </w:t>
      </w:r>
      <w:proofErr w:type="gramStart"/>
      <w:r w:rsidR="005221D8" w:rsidRPr="003526D0">
        <w:rPr>
          <w:rFonts w:ascii="Arial" w:eastAsia="Times New Roman" w:hAnsi="Arial" w:cs="Arial"/>
          <w:sz w:val="20"/>
          <w:szCs w:val="20"/>
          <w:lang w:val="tr-TR" w:eastAsia="tr-TR"/>
        </w:rPr>
        <w:t>ekipman</w:t>
      </w:r>
      <w:proofErr w:type="gramEnd"/>
      <w:r w:rsidR="005221D8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imalatı</w:t>
      </w:r>
      <w:r w:rsidR="009F477C">
        <w:rPr>
          <w:rFonts w:ascii="Arial" w:eastAsia="Times New Roman" w:hAnsi="Arial" w:cs="Arial"/>
          <w:sz w:val="20"/>
          <w:szCs w:val="20"/>
          <w:lang w:val="tr-TR" w:eastAsia="tr-TR"/>
        </w:rPr>
        <w:t>” %</w:t>
      </w:r>
      <w:r w:rsidR="00693BA5">
        <w:rPr>
          <w:rFonts w:ascii="Arial" w:eastAsia="Times New Roman" w:hAnsi="Arial" w:cs="Arial"/>
          <w:sz w:val="20"/>
          <w:szCs w:val="20"/>
          <w:lang w:val="tr-TR" w:eastAsia="tr-TR"/>
        </w:rPr>
        <w:t>9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, “</w:t>
      </w:r>
      <w:r w:rsidR="00E2391D" w:rsidRPr="003526D0">
        <w:rPr>
          <w:rFonts w:ascii="Arial" w:eastAsia="Times New Roman" w:hAnsi="Arial" w:cs="Arial"/>
          <w:sz w:val="20"/>
          <w:szCs w:val="20"/>
          <w:lang w:val="tr-TR" w:eastAsia="tr-TR"/>
        </w:rPr>
        <w:t>Tekstil ürünlerinin imalatı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” %</w:t>
      </w:r>
      <w:r w:rsidR="00693BA5">
        <w:rPr>
          <w:rFonts w:ascii="Arial" w:eastAsia="Times New Roman" w:hAnsi="Arial" w:cs="Arial"/>
          <w:sz w:val="20"/>
          <w:szCs w:val="20"/>
          <w:lang w:val="tr-TR" w:eastAsia="tr-TR"/>
        </w:rPr>
        <w:t>8</w:t>
      </w:r>
      <w:r w:rsidR="00A52187" w:rsidRPr="003526D0">
        <w:rPr>
          <w:rFonts w:ascii="Arial" w:eastAsia="Times New Roman" w:hAnsi="Arial" w:cs="Arial"/>
          <w:sz w:val="20"/>
          <w:szCs w:val="20"/>
          <w:lang w:val="tr-TR" w:eastAsia="tr-TR"/>
        </w:rPr>
        <w:t>,</w:t>
      </w:r>
      <w:r w:rsidR="00693BA5">
        <w:rPr>
          <w:rFonts w:ascii="Arial" w:eastAsia="Times New Roman" w:hAnsi="Arial" w:cs="Arial"/>
          <w:sz w:val="20"/>
          <w:szCs w:val="20"/>
          <w:lang w:val="tr-TR" w:eastAsia="tr-TR"/>
        </w:rPr>
        <w:t>1</w:t>
      </w:r>
      <w:r w:rsidR="002F2922" w:rsidRPr="003526D0">
        <w:rPr>
          <w:rFonts w:ascii="Arial" w:eastAsia="Times New Roman" w:hAnsi="Arial" w:cs="Arial"/>
          <w:sz w:val="20"/>
          <w:szCs w:val="20"/>
          <w:lang w:val="tr-TR" w:eastAsia="tr-TR"/>
        </w:rPr>
        <w:t>, “</w:t>
      </w:r>
      <w:r w:rsidR="00800C4D" w:rsidRPr="003526D0">
        <w:rPr>
          <w:rFonts w:ascii="Arial" w:eastAsia="Times New Roman" w:hAnsi="Arial" w:cs="Arial"/>
          <w:sz w:val="20"/>
          <w:szCs w:val="20"/>
          <w:lang w:val="tr-TR" w:eastAsia="tr-TR"/>
        </w:rPr>
        <w:t>Kauçuk ve plastik ürünlerin imalatı</w:t>
      </w:r>
      <w:r w:rsidR="00BF741F" w:rsidRPr="003526D0">
        <w:rPr>
          <w:rFonts w:ascii="Arial" w:eastAsia="Times New Roman" w:hAnsi="Arial" w:cs="Arial"/>
          <w:sz w:val="20"/>
          <w:szCs w:val="20"/>
          <w:lang w:val="tr-TR" w:eastAsia="tr-TR"/>
        </w:rPr>
        <w:t>” %</w:t>
      </w:r>
      <w:r w:rsidR="009F477C">
        <w:rPr>
          <w:rFonts w:ascii="Arial" w:eastAsia="Times New Roman" w:hAnsi="Arial" w:cs="Arial"/>
          <w:sz w:val="20"/>
          <w:szCs w:val="20"/>
          <w:lang w:val="tr-TR" w:eastAsia="tr-TR"/>
        </w:rPr>
        <w:t>6</w:t>
      </w:r>
      <w:r w:rsidR="00CC252E" w:rsidRPr="003526D0">
        <w:rPr>
          <w:rFonts w:ascii="Arial" w:eastAsia="Times New Roman" w:hAnsi="Arial" w:cs="Arial"/>
          <w:sz w:val="20"/>
          <w:szCs w:val="20"/>
          <w:lang w:val="tr-TR" w:eastAsia="tr-TR"/>
        </w:rPr>
        <w:t>,</w:t>
      </w:r>
      <w:r w:rsidR="00EC6745">
        <w:rPr>
          <w:rFonts w:ascii="Arial" w:eastAsia="Times New Roman" w:hAnsi="Arial" w:cs="Arial"/>
          <w:sz w:val="20"/>
          <w:szCs w:val="20"/>
          <w:lang w:val="tr-TR" w:eastAsia="tr-TR"/>
        </w:rPr>
        <w:t>9</w:t>
      </w:r>
      <w:r w:rsidR="002F2922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oranlarında gerçekleşmiştir.</w:t>
      </w:r>
    </w:p>
    <w:p w:rsidR="009F477C" w:rsidRPr="003526D0" w:rsidRDefault="009F477C" w:rsidP="009F4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En az kapasite raporu düzenlenen son beş faaliyet grubu; “Tütün ürünleri imalatı” (%0,0</w:t>
      </w:r>
      <w:r w:rsidR="009B079C">
        <w:rPr>
          <w:rFonts w:ascii="Arial" w:eastAsia="Times New Roman" w:hAnsi="Arial" w:cs="Arial"/>
          <w:sz w:val="20"/>
          <w:szCs w:val="20"/>
          <w:lang w:val="tr-TR" w:eastAsia="tr-TR"/>
        </w:rPr>
        <w:t>7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)”, “Diğer hizmet faaliyetleri (%0,03)”, “Balıkçılık ve su ürünleri yetiştiriciliği (%0,0</w:t>
      </w:r>
      <w:r>
        <w:rPr>
          <w:rFonts w:ascii="Arial" w:eastAsia="Times New Roman" w:hAnsi="Arial" w:cs="Arial"/>
          <w:sz w:val="20"/>
          <w:szCs w:val="20"/>
          <w:lang w:val="tr-TR" w:eastAsia="tr-TR"/>
        </w:rPr>
        <w:t>2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)”, “Ham petrol ve doğal gaz çıkarımı (%0,01)” ve “Ormancılık ile endüstriyel ve yakacak odun üretimi (%0,00</w:t>
      </w:r>
      <w:r w:rsidR="009B079C">
        <w:rPr>
          <w:rFonts w:ascii="Arial" w:eastAsia="Times New Roman" w:hAnsi="Arial" w:cs="Arial"/>
          <w:sz w:val="20"/>
          <w:szCs w:val="20"/>
          <w:lang w:val="tr-TR" w:eastAsia="tr-TR"/>
        </w:rPr>
        <w:t>1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)” olarak sıralanmıştır.</w:t>
      </w:r>
    </w:p>
    <w:p w:rsidR="00A50C0B" w:rsidRPr="003526D0" w:rsidRDefault="00A50C0B" w:rsidP="00A50C0B">
      <w:pPr>
        <w:pStyle w:val="ListeParagraf"/>
        <w:spacing w:after="0" w:line="240" w:lineRule="auto"/>
        <w:ind w:left="714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2F2922" w:rsidRPr="003526D0" w:rsidRDefault="009B079C" w:rsidP="004B39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2020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 yılı sonu itibariyle en çok Sanayi Kapasite Raporu İstanbul, en az Bayburt’ta düzenlenmiştir.</w:t>
      </w:r>
    </w:p>
    <w:p w:rsidR="002F2922" w:rsidRPr="003526D0" w:rsidRDefault="002F2922" w:rsidP="004B39FB">
      <w:pPr>
        <w:pStyle w:val="ListeParagr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En çok kapasite raporu düzenlenen ilk be</w:t>
      </w:r>
      <w:r w:rsidR="009F28DE" w:rsidRPr="003526D0">
        <w:rPr>
          <w:rFonts w:ascii="Arial" w:hAnsi="Arial" w:cs="Arial"/>
          <w:sz w:val="20"/>
          <w:szCs w:val="20"/>
          <w:lang w:val="tr-TR"/>
        </w:rPr>
        <w:t xml:space="preserve">ş il sırası </w:t>
      </w:r>
      <w:proofErr w:type="gramStart"/>
      <w:r w:rsidR="009F28DE" w:rsidRPr="003526D0">
        <w:rPr>
          <w:rFonts w:ascii="Arial" w:hAnsi="Arial" w:cs="Arial"/>
          <w:sz w:val="20"/>
          <w:szCs w:val="20"/>
          <w:lang w:val="tr-TR"/>
        </w:rPr>
        <w:t>ile</w:t>
      </w:r>
      <w:r w:rsidR="00EC6745">
        <w:rPr>
          <w:rFonts w:ascii="Arial" w:hAnsi="Arial" w:cs="Arial"/>
          <w:sz w:val="20"/>
          <w:szCs w:val="20"/>
          <w:lang w:val="tr-TR"/>
        </w:rPr>
        <w:t>;</w:t>
      </w:r>
      <w:proofErr w:type="gramEnd"/>
      <w:r w:rsidR="009F28DE" w:rsidRPr="003526D0">
        <w:rPr>
          <w:rFonts w:ascii="Arial" w:hAnsi="Arial" w:cs="Arial"/>
          <w:sz w:val="20"/>
          <w:szCs w:val="20"/>
          <w:lang w:val="tr-TR"/>
        </w:rPr>
        <w:t xml:space="preserve"> İstanbul (</w:t>
      </w:r>
      <w:r w:rsidR="006F35F4">
        <w:rPr>
          <w:rFonts w:ascii="Arial" w:hAnsi="Arial" w:cs="Arial"/>
          <w:sz w:val="20"/>
          <w:szCs w:val="20"/>
          <w:lang w:val="tr-TR"/>
        </w:rPr>
        <w:t>23.416</w:t>
      </w:r>
      <w:r w:rsidR="009F28DE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 w:rsidR="00D57BF9" w:rsidRPr="003526D0">
        <w:rPr>
          <w:rFonts w:ascii="Arial" w:hAnsi="Arial" w:cs="Arial"/>
          <w:sz w:val="20"/>
          <w:szCs w:val="20"/>
          <w:lang w:val="tr-TR"/>
        </w:rPr>
        <w:t xml:space="preserve">Ankara </w:t>
      </w:r>
      <w:r w:rsidR="009F28DE" w:rsidRPr="003526D0">
        <w:rPr>
          <w:rFonts w:ascii="Arial" w:hAnsi="Arial" w:cs="Arial"/>
          <w:sz w:val="20"/>
          <w:szCs w:val="20"/>
          <w:lang w:val="tr-TR"/>
        </w:rPr>
        <w:t>(</w:t>
      </w:r>
      <w:r w:rsidR="00F17672">
        <w:rPr>
          <w:rFonts w:ascii="Arial" w:hAnsi="Arial" w:cs="Arial"/>
          <w:sz w:val="20"/>
          <w:szCs w:val="20"/>
          <w:lang w:val="tr-TR"/>
        </w:rPr>
        <w:t>5.</w:t>
      </w:r>
      <w:r w:rsidR="001845C6">
        <w:rPr>
          <w:rFonts w:ascii="Arial" w:hAnsi="Arial" w:cs="Arial"/>
          <w:sz w:val="20"/>
          <w:szCs w:val="20"/>
          <w:lang w:val="tr-TR"/>
        </w:rPr>
        <w:t>260</w:t>
      </w:r>
      <w:r w:rsidR="009F28DE" w:rsidRPr="003526D0">
        <w:rPr>
          <w:rFonts w:ascii="Arial" w:hAnsi="Arial" w:cs="Arial"/>
          <w:sz w:val="20"/>
          <w:szCs w:val="20"/>
          <w:lang w:val="tr-TR"/>
        </w:rPr>
        <w:t>),</w:t>
      </w:r>
      <w:r w:rsidR="007E5CF5" w:rsidRPr="003526D0">
        <w:rPr>
          <w:rFonts w:ascii="Arial" w:hAnsi="Arial" w:cs="Arial"/>
          <w:sz w:val="20"/>
          <w:szCs w:val="20"/>
          <w:lang w:val="tr-TR"/>
        </w:rPr>
        <w:t xml:space="preserve"> Bursa (</w:t>
      </w:r>
      <w:r w:rsidR="001845C6">
        <w:rPr>
          <w:rFonts w:ascii="Arial" w:hAnsi="Arial" w:cs="Arial"/>
          <w:sz w:val="20"/>
          <w:szCs w:val="20"/>
          <w:lang w:val="tr-TR"/>
        </w:rPr>
        <w:t>5</w:t>
      </w:r>
      <w:r w:rsidR="00F17672">
        <w:rPr>
          <w:rFonts w:ascii="Arial" w:hAnsi="Arial" w:cs="Arial"/>
          <w:sz w:val="20"/>
          <w:szCs w:val="20"/>
          <w:lang w:val="tr-TR"/>
        </w:rPr>
        <w:t>.</w:t>
      </w:r>
      <w:r w:rsidR="001845C6">
        <w:rPr>
          <w:rFonts w:ascii="Arial" w:hAnsi="Arial" w:cs="Arial"/>
          <w:sz w:val="20"/>
          <w:szCs w:val="20"/>
          <w:lang w:val="tr-TR"/>
        </w:rPr>
        <w:t>096</w:t>
      </w:r>
      <w:r w:rsidR="007E5CF5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 w:rsidR="0024121C" w:rsidRPr="003526D0">
        <w:rPr>
          <w:rFonts w:ascii="Arial" w:hAnsi="Arial" w:cs="Arial"/>
          <w:sz w:val="20"/>
          <w:szCs w:val="20"/>
          <w:lang w:val="tr-TR"/>
        </w:rPr>
        <w:t xml:space="preserve">İzmir </w:t>
      </w:r>
      <w:r w:rsidR="009F28DE" w:rsidRPr="003526D0">
        <w:rPr>
          <w:rFonts w:ascii="Arial" w:hAnsi="Arial" w:cs="Arial"/>
          <w:sz w:val="20"/>
          <w:szCs w:val="20"/>
          <w:lang w:val="tr-TR"/>
        </w:rPr>
        <w:t>(</w:t>
      </w:r>
      <w:r w:rsidR="00F15F1B" w:rsidRPr="003526D0">
        <w:rPr>
          <w:rFonts w:ascii="Arial" w:hAnsi="Arial" w:cs="Arial"/>
          <w:sz w:val="20"/>
          <w:szCs w:val="20"/>
          <w:lang w:val="tr-TR"/>
        </w:rPr>
        <w:t>4</w:t>
      </w:r>
      <w:r w:rsidR="0021659B" w:rsidRPr="003526D0">
        <w:rPr>
          <w:rFonts w:ascii="Arial" w:hAnsi="Arial" w:cs="Arial"/>
          <w:sz w:val="20"/>
          <w:szCs w:val="20"/>
          <w:lang w:val="tr-TR"/>
        </w:rPr>
        <w:t>.</w:t>
      </w:r>
      <w:r w:rsidR="001845C6">
        <w:rPr>
          <w:rFonts w:ascii="Arial" w:hAnsi="Arial" w:cs="Arial"/>
          <w:sz w:val="20"/>
          <w:szCs w:val="20"/>
          <w:lang w:val="tr-TR"/>
        </w:rPr>
        <w:t>984</w:t>
      </w:r>
      <w:r w:rsidR="009F28DE" w:rsidRPr="003526D0">
        <w:rPr>
          <w:rFonts w:ascii="Arial" w:hAnsi="Arial" w:cs="Arial"/>
          <w:sz w:val="20"/>
          <w:szCs w:val="20"/>
          <w:lang w:val="tr-TR"/>
        </w:rPr>
        <w:t xml:space="preserve">) ve </w:t>
      </w:r>
      <w:r w:rsidR="0024121C" w:rsidRPr="003526D0">
        <w:rPr>
          <w:rFonts w:ascii="Arial" w:hAnsi="Arial" w:cs="Arial"/>
          <w:sz w:val="20"/>
          <w:szCs w:val="20"/>
          <w:lang w:val="tr-TR"/>
        </w:rPr>
        <w:t>Konya</w:t>
      </w:r>
      <w:r w:rsidR="00D57BF9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9F28DE" w:rsidRPr="003526D0">
        <w:rPr>
          <w:rFonts w:ascii="Arial" w:hAnsi="Arial" w:cs="Arial"/>
          <w:sz w:val="20"/>
          <w:szCs w:val="20"/>
          <w:lang w:val="tr-TR"/>
        </w:rPr>
        <w:t>(</w:t>
      </w:r>
      <w:r w:rsidR="001845C6">
        <w:rPr>
          <w:rFonts w:ascii="Arial" w:hAnsi="Arial" w:cs="Arial"/>
          <w:sz w:val="20"/>
          <w:szCs w:val="20"/>
          <w:lang w:val="tr-TR"/>
        </w:rPr>
        <w:t>3</w:t>
      </w:r>
      <w:r w:rsidR="00F17672">
        <w:rPr>
          <w:rFonts w:ascii="Arial" w:hAnsi="Arial" w:cs="Arial"/>
          <w:sz w:val="20"/>
          <w:szCs w:val="20"/>
          <w:lang w:val="tr-TR"/>
        </w:rPr>
        <w:t>.</w:t>
      </w:r>
      <w:r w:rsidR="001845C6">
        <w:rPr>
          <w:rFonts w:ascii="Arial" w:hAnsi="Arial" w:cs="Arial"/>
          <w:sz w:val="20"/>
          <w:szCs w:val="20"/>
          <w:lang w:val="tr-TR"/>
        </w:rPr>
        <w:t>121</w:t>
      </w:r>
      <w:r w:rsidRPr="003526D0">
        <w:rPr>
          <w:rFonts w:ascii="Arial" w:hAnsi="Arial" w:cs="Arial"/>
          <w:sz w:val="20"/>
          <w:szCs w:val="20"/>
          <w:lang w:val="tr-TR"/>
        </w:rPr>
        <w:t>) olmuştur.</w:t>
      </w:r>
    </w:p>
    <w:p w:rsidR="002F2922" w:rsidRPr="003526D0" w:rsidRDefault="002F2922" w:rsidP="004B39FB">
      <w:pPr>
        <w:pStyle w:val="ListeParagr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En az kapasite raporu düzenlenen son beş ile sırası</w:t>
      </w:r>
      <w:r w:rsidR="006F2D21" w:rsidRPr="003526D0">
        <w:rPr>
          <w:rFonts w:ascii="Arial" w:hAnsi="Arial" w:cs="Arial"/>
          <w:sz w:val="20"/>
          <w:szCs w:val="20"/>
          <w:lang w:val="tr-TR"/>
        </w:rPr>
        <w:t xml:space="preserve"> ile Bayburt (</w:t>
      </w:r>
      <w:r w:rsidR="00F17672">
        <w:rPr>
          <w:rFonts w:ascii="Arial" w:hAnsi="Arial" w:cs="Arial"/>
          <w:sz w:val="20"/>
          <w:szCs w:val="20"/>
          <w:lang w:val="tr-TR"/>
        </w:rPr>
        <w:t>1</w:t>
      </w:r>
      <w:r w:rsidR="001845C6">
        <w:rPr>
          <w:rFonts w:ascii="Arial" w:hAnsi="Arial" w:cs="Arial"/>
          <w:sz w:val="20"/>
          <w:szCs w:val="20"/>
          <w:lang w:val="tr-TR"/>
        </w:rPr>
        <w:t>9</w:t>
      </w:r>
      <w:r w:rsidR="006F2D21" w:rsidRPr="003526D0">
        <w:rPr>
          <w:rFonts w:ascii="Arial" w:hAnsi="Arial" w:cs="Arial"/>
          <w:sz w:val="20"/>
          <w:szCs w:val="20"/>
          <w:lang w:val="tr-TR"/>
        </w:rPr>
        <w:t>),</w:t>
      </w:r>
      <w:r w:rsidR="00F17672">
        <w:rPr>
          <w:rFonts w:ascii="Arial" w:hAnsi="Arial" w:cs="Arial"/>
          <w:sz w:val="20"/>
          <w:szCs w:val="20"/>
          <w:lang w:val="tr-TR"/>
        </w:rPr>
        <w:t xml:space="preserve"> </w:t>
      </w:r>
      <w:r w:rsidR="001845C6">
        <w:rPr>
          <w:rFonts w:ascii="Arial" w:hAnsi="Arial" w:cs="Arial"/>
          <w:sz w:val="20"/>
          <w:szCs w:val="20"/>
          <w:lang w:val="tr-TR"/>
        </w:rPr>
        <w:t>Tunceli</w:t>
      </w:r>
      <w:r w:rsidR="00F17672">
        <w:rPr>
          <w:rFonts w:ascii="Arial" w:hAnsi="Arial" w:cs="Arial"/>
          <w:sz w:val="20"/>
          <w:szCs w:val="20"/>
          <w:lang w:val="tr-TR"/>
        </w:rPr>
        <w:t xml:space="preserve"> (</w:t>
      </w:r>
      <w:r w:rsidR="001845C6">
        <w:rPr>
          <w:rFonts w:ascii="Arial" w:hAnsi="Arial" w:cs="Arial"/>
          <w:sz w:val="20"/>
          <w:szCs w:val="20"/>
          <w:lang w:val="tr-TR"/>
        </w:rPr>
        <w:t>31</w:t>
      </w:r>
      <w:r w:rsidR="003029C3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 w:rsidR="001845C6">
        <w:rPr>
          <w:rFonts w:ascii="Arial" w:hAnsi="Arial" w:cs="Arial"/>
          <w:sz w:val="20"/>
          <w:szCs w:val="20"/>
          <w:lang w:val="tr-TR"/>
        </w:rPr>
        <w:t>Ardahan</w:t>
      </w:r>
      <w:r w:rsidR="004B360D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CC5E45" w:rsidRPr="003526D0">
        <w:rPr>
          <w:rFonts w:ascii="Arial" w:hAnsi="Arial" w:cs="Arial"/>
          <w:sz w:val="20"/>
          <w:szCs w:val="20"/>
          <w:lang w:val="tr-TR"/>
        </w:rPr>
        <w:t>(</w:t>
      </w:r>
      <w:r w:rsidR="00F17672">
        <w:rPr>
          <w:rFonts w:ascii="Arial" w:hAnsi="Arial" w:cs="Arial"/>
          <w:sz w:val="20"/>
          <w:szCs w:val="20"/>
          <w:lang w:val="tr-TR"/>
        </w:rPr>
        <w:t>3</w:t>
      </w:r>
      <w:r w:rsidR="001845C6">
        <w:rPr>
          <w:rFonts w:ascii="Arial" w:hAnsi="Arial" w:cs="Arial"/>
          <w:sz w:val="20"/>
          <w:szCs w:val="20"/>
          <w:lang w:val="tr-TR"/>
        </w:rPr>
        <w:t>6</w:t>
      </w:r>
      <w:r w:rsidR="00CC5E45" w:rsidRPr="003526D0">
        <w:rPr>
          <w:rFonts w:ascii="Arial" w:hAnsi="Arial" w:cs="Arial"/>
          <w:sz w:val="20"/>
          <w:szCs w:val="20"/>
          <w:lang w:val="tr-TR"/>
        </w:rPr>
        <w:t>)</w:t>
      </w:r>
      <w:r w:rsidR="00A52187" w:rsidRPr="003526D0">
        <w:rPr>
          <w:rFonts w:ascii="Arial" w:hAnsi="Arial" w:cs="Arial"/>
          <w:sz w:val="20"/>
          <w:szCs w:val="20"/>
          <w:lang w:val="tr-TR"/>
        </w:rPr>
        <w:t>,</w:t>
      </w:r>
      <w:r w:rsidR="00F17672">
        <w:rPr>
          <w:rFonts w:ascii="Arial" w:hAnsi="Arial" w:cs="Arial"/>
          <w:sz w:val="20"/>
          <w:szCs w:val="20"/>
          <w:lang w:val="tr-TR"/>
        </w:rPr>
        <w:t xml:space="preserve"> </w:t>
      </w:r>
      <w:proofErr w:type="gramStart"/>
      <w:r w:rsidR="001845C6">
        <w:rPr>
          <w:rFonts w:ascii="Arial" w:hAnsi="Arial" w:cs="Arial"/>
          <w:sz w:val="20"/>
          <w:szCs w:val="20"/>
          <w:lang w:val="tr-TR"/>
        </w:rPr>
        <w:t>Hakkari</w:t>
      </w:r>
      <w:proofErr w:type="gramEnd"/>
      <w:r w:rsidR="00F17672" w:rsidRPr="003526D0">
        <w:rPr>
          <w:rFonts w:ascii="Arial" w:hAnsi="Arial" w:cs="Arial"/>
          <w:sz w:val="20"/>
          <w:szCs w:val="20"/>
          <w:lang w:val="tr-TR"/>
        </w:rPr>
        <w:t xml:space="preserve"> (3</w:t>
      </w:r>
      <w:r w:rsidR="001845C6">
        <w:rPr>
          <w:rFonts w:ascii="Arial" w:hAnsi="Arial" w:cs="Arial"/>
          <w:sz w:val="20"/>
          <w:szCs w:val="20"/>
          <w:lang w:val="tr-TR"/>
        </w:rPr>
        <w:t>7</w:t>
      </w:r>
      <w:r w:rsidR="00F17672" w:rsidRPr="003526D0">
        <w:rPr>
          <w:rFonts w:ascii="Arial" w:hAnsi="Arial" w:cs="Arial"/>
          <w:sz w:val="20"/>
          <w:szCs w:val="20"/>
          <w:lang w:val="tr-TR"/>
        </w:rPr>
        <w:t>)</w:t>
      </w:r>
      <w:r w:rsidR="00EC6745">
        <w:rPr>
          <w:rFonts w:ascii="Arial" w:hAnsi="Arial" w:cs="Arial"/>
          <w:sz w:val="20"/>
          <w:szCs w:val="20"/>
          <w:lang w:val="tr-TR"/>
        </w:rPr>
        <w:t>,</w:t>
      </w:r>
      <w:r w:rsidR="00CC5E45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1845C6">
        <w:rPr>
          <w:rFonts w:ascii="Arial" w:hAnsi="Arial" w:cs="Arial"/>
          <w:sz w:val="20"/>
          <w:szCs w:val="20"/>
          <w:lang w:val="tr-TR"/>
        </w:rPr>
        <w:t>Siirt</w:t>
      </w:r>
      <w:r w:rsidR="009D1384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4B360D" w:rsidRPr="003526D0">
        <w:rPr>
          <w:rFonts w:ascii="Arial" w:hAnsi="Arial" w:cs="Arial"/>
          <w:sz w:val="20"/>
          <w:szCs w:val="20"/>
          <w:lang w:val="tr-TR"/>
        </w:rPr>
        <w:t>(</w:t>
      </w:r>
      <w:r w:rsidR="00F17672">
        <w:rPr>
          <w:rFonts w:ascii="Arial" w:hAnsi="Arial" w:cs="Arial"/>
          <w:sz w:val="20"/>
          <w:szCs w:val="20"/>
          <w:lang w:val="tr-TR"/>
        </w:rPr>
        <w:t>4</w:t>
      </w:r>
      <w:r w:rsidR="001845C6">
        <w:rPr>
          <w:rFonts w:ascii="Arial" w:hAnsi="Arial" w:cs="Arial"/>
          <w:sz w:val="20"/>
          <w:szCs w:val="20"/>
          <w:lang w:val="tr-TR"/>
        </w:rPr>
        <w:t>4</w:t>
      </w:r>
      <w:r w:rsidR="004B360D" w:rsidRPr="003526D0">
        <w:rPr>
          <w:rFonts w:ascii="Arial" w:hAnsi="Arial" w:cs="Arial"/>
          <w:sz w:val="20"/>
          <w:szCs w:val="20"/>
          <w:lang w:val="tr-TR"/>
        </w:rPr>
        <w:t>)</w:t>
      </w:r>
      <w:r w:rsidR="006F2D21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Pr="003526D0">
        <w:rPr>
          <w:rFonts w:ascii="Arial" w:hAnsi="Arial" w:cs="Arial"/>
          <w:sz w:val="20"/>
          <w:szCs w:val="20"/>
          <w:lang w:val="tr-TR"/>
        </w:rPr>
        <w:t>olmuştur.</w:t>
      </w:r>
    </w:p>
    <w:p w:rsidR="00A50C0B" w:rsidRPr="003526D0" w:rsidRDefault="00A50C0B" w:rsidP="00A43346">
      <w:pPr>
        <w:pStyle w:val="ListeParagraf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tr-TR"/>
        </w:rPr>
      </w:pPr>
    </w:p>
    <w:p w:rsidR="002F2922" w:rsidRPr="003526D0" w:rsidRDefault="00D048B9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526D0">
        <w:rPr>
          <w:rFonts w:ascii="Arial" w:hAnsi="Arial" w:cs="Arial"/>
          <w:b/>
          <w:sz w:val="20"/>
          <w:szCs w:val="20"/>
          <w:lang w:val="tr-TR"/>
        </w:rPr>
        <w:t>20</w:t>
      </w:r>
      <w:r w:rsidR="004E4D8F">
        <w:rPr>
          <w:rFonts w:ascii="Arial" w:hAnsi="Arial" w:cs="Arial"/>
          <w:b/>
          <w:sz w:val="20"/>
          <w:szCs w:val="20"/>
          <w:lang w:val="tr-TR"/>
        </w:rPr>
        <w:t>20</w:t>
      </w:r>
      <w:r w:rsidR="00686BB0" w:rsidRPr="003526D0">
        <w:rPr>
          <w:rFonts w:ascii="Arial" w:hAnsi="Arial" w:cs="Arial"/>
          <w:b/>
          <w:sz w:val="20"/>
          <w:szCs w:val="20"/>
          <w:lang w:val="tr-TR"/>
        </w:rPr>
        <w:t xml:space="preserve"> yılı sonu itibariyle </w:t>
      </w:r>
      <w:r w:rsidR="008E6F3E">
        <w:rPr>
          <w:rFonts w:ascii="Arial" w:hAnsi="Arial" w:cs="Arial"/>
          <w:b/>
          <w:sz w:val="20"/>
          <w:szCs w:val="20"/>
          <w:lang w:val="tr-TR"/>
        </w:rPr>
        <w:t>1.</w:t>
      </w:r>
      <w:r w:rsidR="009C7F9B">
        <w:rPr>
          <w:rFonts w:ascii="Arial" w:hAnsi="Arial" w:cs="Arial"/>
          <w:b/>
          <w:sz w:val="20"/>
          <w:szCs w:val="20"/>
          <w:lang w:val="tr-TR"/>
        </w:rPr>
        <w:t>413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 </w:t>
      </w:r>
      <w:r w:rsidR="006637C0" w:rsidRPr="003526D0">
        <w:rPr>
          <w:rFonts w:ascii="Arial" w:hAnsi="Arial" w:cs="Arial"/>
          <w:b/>
          <w:sz w:val="20"/>
          <w:szCs w:val="20"/>
          <w:lang w:val="tr-TR"/>
        </w:rPr>
        <w:t>Yabancı Sermayeli Firma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 Kapasite Raporu yaptırmış bulunmaktadır. </w:t>
      </w:r>
    </w:p>
    <w:p w:rsidR="002F2922" w:rsidRPr="003526D0" w:rsidRDefault="002F2922" w:rsidP="004B39FB">
      <w:pPr>
        <w:pStyle w:val="ListeParagraf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tr-TR" w:eastAsia="tr-TR"/>
        </w:rPr>
      </w:pP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Yabancı sermayeli firmaların üretim tesislerinin en çok olduğu il </w:t>
      </w:r>
      <w:r w:rsidR="008C7493" w:rsidRPr="003526D0">
        <w:rPr>
          <w:rFonts w:ascii="Arial" w:eastAsia="Times New Roman" w:hAnsi="Arial" w:cs="Arial"/>
          <w:sz w:val="20"/>
          <w:szCs w:val="20"/>
          <w:lang w:val="tr-TR" w:eastAsia="tr-TR"/>
        </w:rPr>
        <w:t>İstanbul (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239</w:t>
      </w:r>
      <w:r w:rsidR="008C7493" w:rsidRPr="003526D0">
        <w:rPr>
          <w:rFonts w:ascii="Arial" w:eastAsia="Times New Roman" w:hAnsi="Arial" w:cs="Arial"/>
          <w:sz w:val="20"/>
          <w:szCs w:val="20"/>
          <w:lang w:val="tr-TR" w:eastAsia="tr-TR"/>
        </w:rPr>
        <w:t>)</w:t>
      </w:r>
      <w:r w:rsidR="00563363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olmuştur. Daha sonra sırası </w:t>
      </w:r>
      <w:proofErr w:type="gramStart"/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ile</w:t>
      </w:r>
      <w:r w:rsidR="00EC6745">
        <w:rPr>
          <w:rFonts w:ascii="Arial" w:eastAsia="Times New Roman" w:hAnsi="Arial" w:cs="Arial"/>
          <w:sz w:val="20"/>
          <w:szCs w:val="20"/>
          <w:lang w:val="tr-TR" w:eastAsia="tr-TR"/>
        </w:rPr>
        <w:t>;</w:t>
      </w:r>
      <w:proofErr w:type="gramEnd"/>
      <w:r w:rsidR="008C7493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r w:rsidR="008C7493" w:rsidRPr="003526D0">
        <w:rPr>
          <w:rFonts w:ascii="Arial" w:eastAsia="Times New Roman" w:hAnsi="Arial" w:cs="Arial"/>
          <w:sz w:val="20"/>
          <w:szCs w:val="20"/>
          <w:lang w:val="tr-TR" w:eastAsia="tr-TR"/>
        </w:rPr>
        <w:t>Kocaeli (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180</w:t>
      </w:r>
      <w:r w:rsidR="008C7493" w:rsidRPr="003526D0">
        <w:rPr>
          <w:rFonts w:ascii="Arial" w:eastAsia="Times New Roman" w:hAnsi="Arial" w:cs="Arial"/>
          <w:sz w:val="20"/>
          <w:szCs w:val="20"/>
          <w:lang w:val="tr-TR" w:eastAsia="tr-TR"/>
        </w:rPr>
        <w:t>)</w:t>
      </w:r>
      <w:r w:rsidR="008C7493">
        <w:rPr>
          <w:rFonts w:ascii="Arial" w:eastAsia="Times New Roman" w:hAnsi="Arial" w:cs="Arial"/>
          <w:sz w:val="20"/>
          <w:szCs w:val="20"/>
          <w:lang w:val="tr-TR" w:eastAsia="tr-TR"/>
        </w:rPr>
        <w:t xml:space="preserve">, 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r w:rsidR="00563363" w:rsidRPr="003526D0">
        <w:rPr>
          <w:rFonts w:ascii="Arial" w:eastAsia="Times New Roman" w:hAnsi="Arial" w:cs="Arial"/>
          <w:sz w:val="20"/>
          <w:szCs w:val="20"/>
          <w:lang w:val="tr-TR" w:eastAsia="tr-TR"/>
        </w:rPr>
        <w:t>İ</w:t>
      </w:r>
      <w:r w:rsidR="004B360D" w:rsidRPr="003526D0">
        <w:rPr>
          <w:rFonts w:ascii="Arial" w:eastAsia="Times New Roman" w:hAnsi="Arial" w:cs="Arial"/>
          <w:sz w:val="20"/>
          <w:szCs w:val="20"/>
          <w:lang w:val="tr-TR" w:eastAsia="tr-TR"/>
        </w:rPr>
        <w:t>zmir (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17</w:t>
      </w:r>
      <w:r w:rsidR="006F35F4">
        <w:rPr>
          <w:rFonts w:ascii="Arial" w:eastAsia="Times New Roman" w:hAnsi="Arial" w:cs="Arial"/>
          <w:sz w:val="20"/>
          <w:szCs w:val="20"/>
          <w:lang w:val="tr-TR" w:eastAsia="tr-TR"/>
        </w:rPr>
        <w:t>4</w:t>
      </w:r>
      <w:r w:rsidR="00563363" w:rsidRPr="003526D0">
        <w:rPr>
          <w:rFonts w:ascii="Arial" w:eastAsia="Times New Roman" w:hAnsi="Arial" w:cs="Arial"/>
          <w:sz w:val="20"/>
          <w:szCs w:val="20"/>
          <w:lang w:val="tr-TR" w:eastAsia="tr-TR"/>
        </w:rPr>
        <w:t>),</w:t>
      </w:r>
      <w:r w:rsidR="000004FC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Bursa (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137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) </w:t>
      </w:r>
      <w:r w:rsidR="00563363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ve </w:t>
      </w:r>
      <w:r w:rsidR="00D048B9" w:rsidRPr="003526D0">
        <w:rPr>
          <w:rFonts w:ascii="Arial" w:eastAsia="Times New Roman" w:hAnsi="Arial" w:cs="Arial"/>
          <w:sz w:val="20"/>
          <w:szCs w:val="20"/>
          <w:lang w:val="tr-TR" w:eastAsia="tr-TR"/>
        </w:rPr>
        <w:t>Tekirdağ</w:t>
      </w:r>
      <w:r w:rsidR="000004FC" w:rsidRPr="003526D0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(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70</w:t>
      </w:r>
      <w:r w:rsidRPr="003526D0">
        <w:rPr>
          <w:rFonts w:ascii="Arial" w:eastAsia="Times New Roman" w:hAnsi="Arial" w:cs="Arial"/>
          <w:sz w:val="20"/>
          <w:szCs w:val="20"/>
          <w:lang w:val="tr-TR" w:eastAsia="tr-TR"/>
        </w:rPr>
        <w:t>) olmuştur.</w:t>
      </w:r>
    </w:p>
    <w:p w:rsidR="002F2922" w:rsidRPr="002F15DE" w:rsidRDefault="002F2922" w:rsidP="004E4D8F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2F15DE">
        <w:rPr>
          <w:rFonts w:ascii="Arial" w:eastAsia="Times New Roman" w:hAnsi="Arial" w:cs="Arial"/>
          <w:sz w:val="20"/>
          <w:szCs w:val="20"/>
          <w:lang w:val="tr-TR" w:eastAsia="tr-TR"/>
        </w:rPr>
        <w:t>Yabancı sermayeli firmaların kapasite raporu yaptırdıkları tesislerin faaliyet grubuna göre ilk beş sıralaması “</w:t>
      </w:r>
      <w:r w:rsidR="00676187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Fabrikasyon metal ürünleri imalatı (makine ve teçhizat hariç) </w:t>
      </w:r>
      <w:r w:rsidR="00563363" w:rsidRPr="002F15DE">
        <w:rPr>
          <w:rFonts w:ascii="Arial" w:eastAsia="Times New Roman" w:hAnsi="Arial" w:cs="Arial"/>
          <w:sz w:val="20"/>
          <w:szCs w:val="20"/>
          <w:lang w:val="tr-TR" w:eastAsia="tr-TR"/>
        </w:rPr>
        <w:t>(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151</w:t>
      </w:r>
      <w:r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)”, </w:t>
      </w:r>
      <w:r w:rsidR="00F45997" w:rsidRPr="002F15DE">
        <w:rPr>
          <w:rFonts w:ascii="Arial" w:eastAsia="Times New Roman" w:hAnsi="Arial" w:cs="Arial"/>
          <w:sz w:val="20"/>
          <w:szCs w:val="20"/>
          <w:lang w:val="tr-TR" w:eastAsia="tr-TR"/>
        </w:rPr>
        <w:t>“</w:t>
      </w:r>
      <w:r w:rsidR="004E4D8F" w:rsidRPr="004E4D8F">
        <w:rPr>
          <w:rFonts w:ascii="Arial" w:eastAsia="Times New Roman" w:hAnsi="Arial" w:cs="Arial"/>
          <w:sz w:val="20"/>
          <w:szCs w:val="20"/>
          <w:lang w:val="tr-TR" w:eastAsia="tr-TR"/>
        </w:rPr>
        <w:t>Kimyasalların ve kimyasal ürünlerin imalatı</w:t>
      </w:r>
      <w:r w:rsidR="00F45997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(</w:t>
      </w:r>
      <w:r w:rsidR="000B5F00" w:rsidRPr="002F15DE">
        <w:rPr>
          <w:rFonts w:ascii="Arial" w:eastAsia="Times New Roman" w:hAnsi="Arial" w:cs="Arial"/>
          <w:sz w:val="20"/>
          <w:szCs w:val="20"/>
          <w:lang w:val="tr-TR" w:eastAsia="tr-TR"/>
        </w:rPr>
        <w:t>1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3</w:t>
      </w:r>
      <w:r w:rsidR="000B5F00" w:rsidRPr="002F15DE">
        <w:rPr>
          <w:rFonts w:ascii="Arial" w:eastAsia="Times New Roman" w:hAnsi="Arial" w:cs="Arial"/>
          <w:sz w:val="20"/>
          <w:szCs w:val="20"/>
          <w:lang w:val="tr-TR" w:eastAsia="tr-TR"/>
        </w:rPr>
        <w:t>4</w:t>
      </w:r>
      <w:r w:rsidR="00F45997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)”, </w:t>
      </w:r>
      <w:r w:rsidR="004E4D8F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“Başka yerde sınıflandırılmamış makine ve </w:t>
      </w:r>
      <w:proofErr w:type="gramStart"/>
      <w:r w:rsidR="004E4D8F" w:rsidRPr="002F15DE">
        <w:rPr>
          <w:rFonts w:ascii="Arial" w:eastAsia="Times New Roman" w:hAnsi="Arial" w:cs="Arial"/>
          <w:sz w:val="20"/>
          <w:szCs w:val="20"/>
          <w:lang w:val="tr-TR" w:eastAsia="tr-TR"/>
        </w:rPr>
        <w:t>ekipman</w:t>
      </w:r>
      <w:proofErr w:type="gramEnd"/>
      <w:r w:rsidR="004E4D8F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imalatı (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129</w:t>
      </w:r>
      <w:r w:rsidR="004E4D8F" w:rsidRPr="002F15DE">
        <w:rPr>
          <w:rFonts w:ascii="Arial" w:eastAsia="Times New Roman" w:hAnsi="Arial" w:cs="Arial"/>
          <w:sz w:val="20"/>
          <w:szCs w:val="20"/>
          <w:lang w:val="tr-TR" w:eastAsia="tr-TR"/>
        </w:rPr>
        <w:t>)</w:t>
      </w:r>
      <w:r w:rsidR="004B360D" w:rsidRPr="002F15DE">
        <w:rPr>
          <w:rFonts w:ascii="Arial" w:eastAsia="Times New Roman" w:hAnsi="Arial" w:cs="Arial"/>
          <w:sz w:val="20"/>
          <w:szCs w:val="20"/>
          <w:lang w:val="tr-TR" w:eastAsia="tr-TR"/>
        </w:rPr>
        <w:t>”</w:t>
      </w:r>
      <w:r w:rsidR="00F45997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, 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“</w:t>
      </w:r>
      <w:r w:rsidR="004E4D8F" w:rsidRPr="004E4D8F">
        <w:rPr>
          <w:rFonts w:ascii="Arial" w:eastAsia="Times New Roman" w:hAnsi="Arial" w:cs="Arial"/>
          <w:sz w:val="20"/>
          <w:szCs w:val="20"/>
          <w:lang w:val="tr-TR" w:eastAsia="tr-TR"/>
        </w:rPr>
        <w:t>Kauçuk ve plastik ürünlerin imalatı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(128)” </w:t>
      </w:r>
      <w:r w:rsidR="00F45997" w:rsidRPr="002F15DE">
        <w:rPr>
          <w:rFonts w:ascii="Arial" w:hAnsi="Arial" w:cs="Arial"/>
          <w:sz w:val="20"/>
          <w:szCs w:val="20"/>
          <w:lang w:val="tr-TR"/>
        </w:rPr>
        <w:t xml:space="preserve">ve </w:t>
      </w:r>
      <w:r w:rsidR="000B5F00" w:rsidRPr="002F15DE">
        <w:rPr>
          <w:rFonts w:ascii="Arial" w:hAnsi="Arial" w:cs="Arial"/>
          <w:sz w:val="20"/>
          <w:szCs w:val="20"/>
          <w:lang w:val="tr-TR"/>
        </w:rPr>
        <w:t>Motorlu kara taşıtı, treyler (römork) ve yarı treyler (yarı römork) imalatı</w:t>
      </w:r>
      <w:r w:rsidR="002E7684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(</w:t>
      </w:r>
      <w:r w:rsidR="000B5F00" w:rsidRPr="002F15DE">
        <w:rPr>
          <w:rFonts w:ascii="Arial" w:eastAsia="Times New Roman" w:hAnsi="Arial" w:cs="Arial"/>
          <w:sz w:val="20"/>
          <w:szCs w:val="20"/>
          <w:lang w:val="tr-TR" w:eastAsia="tr-TR"/>
        </w:rPr>
        <w:t>1</w:t>
      </w:r>
      <w:r w:rsidR="004E4D8F">
        <w:rPr>
          <w:rFonts w:ascii="Arial" w:eastAsia="Times New Roman" w:hAnsi="Arial" w:cs="Arial"/>
          <w:sz w:val="20"/>
          <w:szCs w:val="20"/>
          <w:lang w:val="tr-TR" w:eastAsia="tr-TR"/>
        </w:rPr>
        <w:t>04</w:t>
      </w:r>
      <w:r w:rsidR="002E7684" w:rsidRPr="002F15DE">
        <w:rPr>
          <w:rFonts w:ascii="Arial" w:eastAsia="Times New Roman" w:hAnsi="Arial" w:cs="Arial"/>
          <w:sz w:val="20"/>
          <w:szCs w:val="20"/>
          <w:lang w:val="tr-TR" w:eastAsia="tr-TR"/>
        </w:rPr>
        <w:t>)”</w:t>
      </w:r>
      <w:r w:rsidR="004B360D" w:rsidRPr="002F15DE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r w:rsidRPr="002F15DE">
        <w:rPr>
          <w:rFonts w:ascii="Arial" w:hAnsi="Arial" w:cs="Arial"/>
          <w:sz w:val="20"/>
          <w:szCs w:val="20"/>
          <w:lang w:val="tr-TR"/>
        </w:rPr>
        <w:t>biçiminde olmuştur.</w:t>
      </w:r>
    </w:p>
    <w:p w:rsidR="00A50C0B" w:rsidRPr="003526D0" w:rsidRDefault="00A50C0B" w:rsidP="00A50C0B">
      <w:pPr>
        <w:pStyle w:val="ListeParagraf"/>
        <w:spacing w:after="0" w:line="240" w:lineRule="auto"/>
        <w:ind w:left="714"/>
        <w:jc w:val="both"/>
        <w:rPr>
          <w:rFonts w:ascii="Arial" w:hAnsi="Arial" w:cs="Arial"/>
          <w:sz w:val="20"/>
          <w:szCs w:val="20"/>
          <w:lang w:val="tr-TR"/>
        </w:rPr>
      </w:pPr>
    </w:p>
    <w:p w:rsidR="002F2922" w:rsidRPr="003526D0" w:rsidRDefault="009F2736" w:rsidP="004B39FB">
      <w:pPr>
        <w:pStyle w:val="ListeParagraf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2020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 xml:space="preserve"> yılı sonu itibariyle en çok yabancı s</w:t>
      </w:r>
      <w:r w:rsidR="008364E4" w:rsidRPr="003526D0">
        <w:rPr>
          <w:rFonts w:ascii="Arial" w:hAnsi="Arial" w:cs="Arial"/>
          <w:b/>
          <w:sz w:val="20"/>
          <w:szCs w:val="20"/>
          <w:lang w:val="tr-TR"/>
        </w:rPr>
        <w:t>ermayeli sanayi tesisi Almanya s</w:t>
      </w:r>
      <w:r w:rsidR="002F2922" w:rsidRPr="003526D0">
        <w:rPr>
          <w:rFonts w:ascii="Arial" w:hAnsi="Arial" w:cs="Arial"/>
          <w:b/>
          <w:sz w:val="20"/>
          <w:szCs w:val="20"/>
          <w:lang w:val="tr-TR"/>
        </w:rPr>
        <w:t>ermayelidir.</w:t>
      </w:r>
    </w:p>
    <w:p w:rsidR="002F2922" w:rsidRDefault="002F2922" w:rsidP="004E4D8F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526D0">
        <w:rPr>
          <w:rFonts w:ascii="Arial" w:hAnsi="Arial" w:cs="Arial"/>
          <w:sz w:val="20"/>
          <w:szCs w:val="20"/>
          <w:lang w:val="tr-TR"/>
        </w:rPr>
        <w:t>Yabancı sermaye</w:t>
      </w:r>
      <w:r w:rsidR="00216C5A" w:rsidRPr="003526D0">
        <w:rPr>
          <w:rFonts w:ascii="Arial" w:hAnsi="Arial" w:cs="Arial"/>
          <w:sz w:val="20"/>
          <w:szCs w:val="20"/>
          <w:lang w:val="tr-TR"/>
        </w:rPr>
        <w:t xml:space="preserve">li </w:t>
      </w:r>
      <w:r w:rsidR="00EC2BDB" w:rsidRPr="003526D0">
        <w:rPr>
          <w:rFonts w:ascii="Arial" w:hAnsi="Arial" w:cs="Arial"/>
          <w:sz w:val="20"/>
          <w:szCs w:val="20"/>
          <w:lang w:val="tr-TR"/>
        </w:rPr>
        <w:t>sanayi</w:t>
      </w:r>
      <w:r w:rsidR="00753C7F" w:rsidRPr="003526D0">
        <w:rPr>
          <w:rFonts w:ascii="Arial" w:hAnsi="Arial" w:cs="Arial"/>
          <w:sz w:val="20"/>
          <w:szCs w:val="20"/>
          <w:lang w:val="tr-TR"/>
        </w:rPr>
        <w:t xml:space="preserve"> tesisleri sayısında </w:t>
      </w:r>
      <w:r w:rsidR="002F15DE">
        <w:rPr>
          <w:rFonts w:ascii="Arial" w:hAnsi="Arial" w:cs="Arial"/>
          <w:sz w:val="20"/>
          <w:szCs w:val="20"/>
          <w:lang w:val="tr-TR"/>
        </w:rPr>
        <w:t>2</w:t>
      </w:r>
      <w:r w:rsidR="004E4D8F">
        <w:rPr>
          <w:rFonts w:ascii="Arial" w:hAnsi="Arial" w:cs="Arial"/>
          <w:sz w:val="20"/>
          <w:szCs w:val="20"/>
          <w:lang w:val="tr-TR"/>
        </w:rPr>
        <w:t>72</w:t>
      </w:r>
      <w:r w:rsidRPr="003526D0">
        <w:rPr>
          <w:rFonts w:ascii="Arial" w:hAnsi="Arial" w:cs="Arial"/>
          <w:sz w:val="20"/>
          <w:szCs w:val="20"/>
          <w:lang w:val="tr-TR"/>
        </w:rPr>
        <w:t xml:space="preserve"> adetle Almanya ilk sırada yer almıştır. Dah</w:t>
      </w:r>
      <w:r w:rsidR="00270972" w:rsidRPr="003526D0">
        <w:rPr>
          <w:rFonts w:ascii="Arial" w:hAnsi="Arial" w:cs="Arial"/>
          <w:sz w:val="20"/>
          <w:szCs w:val="20"/>
          <w:lang w:val="tr-TR"/>
        </w:rPr>
        <w:t xml:space="preserve">a sonra sırası </w:t>
      </w:r>
      <w:proofErr w:type="gramStart"/>
      <w:r w:rsidR="00270972" w:rsidRPr="003526D0">
        <w:rPr>
          <w:rFonts w:ascii="Arial" w:hAnsi="Arial" w:cs="Arial"/>
          <w:sz w:val="20"/>
          <w:szCs w:val="20"/>
          <w:lang w:val="tr-TR"/>
        </w:rPr>
        <w:t>ile</w:t>
      </w:r>
      <w:r w:rsidR="00EC6745">
        <w:rPr>
          <w:rFonts w:ascii="Arial" w:hAnsi="Arial" w:cs="Arial"/>
          <w:sz w:val="20"/>
          <w:szCs w:val="20"/>
          <w:lang w:val="tr-TR"/>
        </w:rPr>
        <w:t>;</w:t>
      </w:r>
      <w:proofErr w:type="gramEnd"/>
      <w:r w:rsidR="00270972" w:rsidRPr="003526D0">
        <w:rPr>
          <w:rFonts w:ascii="Arial" w:hAnsi="Arial" w:cs="Arial"/>
          <w:sz w:val="20"/>
          <w:szCs w:val="20"/>
          <w:lang w:val="tr-TR"/>
        </w:rPr>
        <w:t xml:space="preserve"> Hollanda (</w:t>
      </w:r>
      <w:r w:rsidR="002F15DE">
        <w:rPr>
          <w:rFonts w:ascii="Arial" w:hAnsi="Arial" w:cs="Arial"/>
          <w:sz w:val="20"/>
          <w:szCs w:val="20"/>
          <w:lang w:val="tr-TR"/>
        </w:rPr>
        <w:t>1</w:t>
      </w:r>
      <w:r w:rsidR="004E4D8F">
        <w:rPr>
          <w:rFonts w:ascii="Arial" w:hAnsi="Arial" w:cs="Arial"/>
          <w:sz w:val="20"/>
          <w:szCs w:val="20"/>
          <w:lang w:val="tr-TR"/>
        </w:rPr>
        <w:t>47</w:t>
      </w:r>
      <w:r w:rsidR="00270972" w:rsidRPr="003526D0">
        <w:rPr>
          <w:rFonts w:ascii="Arial" w:hAnsi="Arial" w:cs="Arial"/>
          <w:sz w:val="20"/>
          <w:szCs w:val="20"/>
          <w:lang w:val="tr-TR"/>
        </w:rPr>
        <w:t xml:space="preserve">), </w:t>
      </w:r>
      <w:r w:rsidR="00A75505" w:rsidRPr="003526D0">
        <w:rPr>
          <w:rFonts w:ascii="Arial" w:hAnsi="Arial" w:cs="Arial"/>
          <w:sz w:val="20"/>
          <w:szCs w:val="20"/>
          <w:lang w:val="tr-TR"/>
        </w:rPr>
        <w:t>İtalya (</w:t>
      </w:r>
      <w:r w:rsidR="004E4D8F">
        <w:rPr>
          <w:rFonts w:ascii="Arial" w:hAnsi="Arial" w:cs="Arial"/>
          <w:sz w:val="20"/>
          <w:szCs w:val="20"/>
          <w:lang w:val="tr-TR"/>
        </w:rPr>
        <w:t>86</w:t>
      </w:r>
      <w:r w:rsidR="00A75505" w:rsidRPr="003526D0">
        <w:rPr>
          <w:rFonts w:ascii="Arial" w:hAnsi="Arial" w:cs="Arial"/>
          <w:sz w:val="20"/>
          <w:szCs w:val="20"/>
          <w:lang w:val="tr-TR"/>
        </w:rPr>
        <w:t>),</w:t>
      </w:r>
      <w:r w:rsidR="002F15DE" w:rsidRPr="002F15DE">
        <w:rPr>
          <w:rFonts w:ascii="Arial" w:hAnsi="Arial" w:cs="Arial"/>
          <w:sz w:val="20"/>
          <w:szCs w:val="20"/>
          <w:lang w:val="tr-TR"/>
        </w:rPr>
        <w:t xml:space="preserve"> </w:t>
      </w:r>
      <w:r w:rsidR="002F15DE" w:rsidRPr="003526D0">
        <w:rPr>
          <w:rFonts w:ascii="Arial" w:hAnsi="Arial" w:cs="Arial"/>
          <w:sz w:val="20"/>
          <w:szCs w:val="20"/>
          <w:lang w:val="tr-TR"/>
        </w:rPr>
        <w:t>Fransa (</w:t>
      </w:r>
      <w:r w:rsidR="002F15DE">
        <w:rPr>
          <w:rFonts w:ascii="Arial" w:hAnsi="Arial" w:cs="Arial"/>
          <w:sz w:val="20"/>
          <w:szCs w:val="20"/>
          <w:lang w:val="tr-TR"/>
        </w:rPr>
        <w:t>7</w:t>
      </w:r>
      <w:r w:rsidR="004E4D8F">
        <w:rPr>
          <w:rFonts w:ascii="Arial" w:hAnsi="Arial" w:cs="Arial"/>
          <w:sz w:val="20"/>
          <w:szCs w:val="20"/>
          <w:lang w:val="tr-TR"/>
        </w:rPr>
        <w:t>2</w:t>
      </w:r>
      <w:r w:rsidR="002F15DE" w:rsidRPr="003526D0">
        <w:rPr>
          <w:rFonts w:ascii="Arial" w:hAnsi="Arial" w:cs="Arial"/>
          <w:sz w:val="20"/>
          <w:szCs w:val="20"/>
          <w:lang w:val="tr-TR"/>
        </w:rPr>
        <w:t>),</w:t>
      </w:r>
      <w:r w:rsidR="00A75505" w:rsidRPr="00A75505">
        <w:t xml:space="preserve"> </w:t>
      </w:r>
      <w:r w:rsidR="004E4D8F" w:rsidRPr="004E4D8F">
        <w:rPr>
          <w:rFonts w:ascii="Arial" w:hAnsi="Arial" w:cs="Arial"/>
          <w:sz w:val="20"/>
          <w:szCs w:val="20"/>
          <w:lang w:val="tr-TR"/>
        </w:rPr>
        <w:t>Büyük Britanya ve Kuzey İrlanda</w:t>
      </w:r>
      <w:r w:rsidR="00983503" w:rsidRPr="003526D0">
        <w:rPr>
          <w:rFonts w:ascii="Arial" w:hAnsi="Arial" w:cs="Arial"/>
          <w:sz w:val="20"/>
          <w:szCs w:val="20"/>
          <w:lang w:val="tr-TR"/>
        </w:rPr>
        <w:t xml:space="preserve"> </w:t>
      </w:r>
      <w:r w:rsidR="00753C7F" w:rsidRPr="003526D0">
        <w:rPr>
          <w:rFonts w:ascii="Arial" w:hAnsi="Arial" w:cs="Arial"/>
          <w:sz w:val="20"/>
          <w:szCs w:val="20"/>
          <w:lang w:val="tr-TR"/>
        </w:rPr>
        <w:t>(</w:t>
      </w:r>
      <w:r w:rsidR="004E4D8F">
        <w:rPr>
          <w:rFonts w:ascii="Arial" w:hAnsi="Arial" w:cs="Arial"/>
          <w:sz w:val="20"/>
          <w:szCs w:val="20"/>
          <w:lang w:val="tr-TR"/>
        </w:rPr>
        <w:t>58</w:t>
      </w:r>
      <w:r w:rsidRPr="003526D0">
        <w:rPr>
          <w:rFonts w:ascii="Arial" w:hAnsi="Arial" w:cs="Arial"/>
          <w:sz w:val="20"/>
          <w:szCs w:val="20"/>
          <w:lang w:val="tr-TR"/>
        </w:rPr>
        <w:t>) gelmektedir.</w:t>
      </w:r>
    </w:p>
    <w:p w:rsidR="00404109" w:rsidRDefault="00404109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404109" w:rsidRDefault="00404109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404109" w:rsidRDefault="00404109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EC6745" w:rsidRDefault="00EC6745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B634D0" w:rsidRDefault="00B634D0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B634D0" w:rsidRDefault="00B634D0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B634D0" w:rsidRDefault="00B634D0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B634D0" w:rsidRDefault="00B634D0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B634D0" w:rsidRDefault="00B634D0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02322C" w:rsidRDefault="0002322C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404109" w:rsidRPr="003526D0" w:rsidRDefault="00404109" w:rsidP="00404109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>
        <w:rPr>
          <w:rFonts w:ascii="Arial" w:hAnsi="Arial" w:cs="Arial"/>
          <w:sz w:val="20"/>
          <w:szCs w:val="20"/>
          <w:lang w:val="tr-TR"/>
        </w:rPr>
        <w:lastRenderedPageBreak/>
        <w:t>Düzey 1’e göre Kapasite Raporu Dağılımı</w:t>
      </w:r>
    </w:p>
    <w:tbl>
      <w:tblPr>
        <w:tblW w:w="101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074"/>
        <w:gridCol w:w="1134"/>
        <w:gridCol w:w="863"/>
        <w:gridCol w:w="1134"/>
        <w:gridCol w:w="992"/>
        <w:gridCol w:w="1276"/>
      </w:tblGrid>
      <w:tr w:rsidR="00404109" w:rsidRPr="00CF50D9" w:rsidTr="00404109">
        <w:trPr>
          <w:trHeight w:val="780"/>
        </w:trPr>
        <w:tc>
          <w:tcPr>
            <w:tcW w:w="2410" w:type="dxa"/>
            <w:shd w:val="clear" w:color="000000" w:fill="DCE6F1"/>
            <w:noWrap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Kapasite Raporu Sayısı</w:t>
            </w:r>
          </w:p>
        </w:tc>
        <w:tc>
          <w:tcPr>
            <w:tcW w:w="1074" w:type="dxa"/>
            <w:shd w:val="clear" w:color="000000" w:fill="DCE6F1"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Mühendis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Teknisyen</w:t>
            </w:r>
          </w:p>
        </w:tc>
        <w:tc>
          <w:tcPr>
            <w:tcW w:w="863" w:type="dxa"/>
            <w:shd w:val="clear" w:color="000000" w:fill="DCE6F1"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Usta</w:t>
            </w:r>
          </w:p>
        </w:tc>
        <w:tc>
          <w:tcPr>
            <w:tcW w:w="1134" w:type="dxa"/>
            <w:shd w:val="clear" w:color="000000" w:fill="DCE6F1"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İşçi</w:t>
            </w:r>
          </w:p>
        </w:tc>
        <w:tc>
          <w:tcPr>
            <w:tcW w:w="992" w:type="dxa"/>
            <w:shd w:val="clear" w:color="000000" w:fill="DCE6F1"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İdari</w:t>
            </w:r>
          </w:p>
        </w:tc>
        <w:tc>
          <w:tcPr>
            <w:tcW w:w="1276" w:type="dxa"/>
            <w:shd w:val="clear" w:color="000000" w:fill="DCE6F1"/>
            <w:vAlign w:val="center"/>
            <w:hideMark/>
          </w:tcPr>
          <w:p w:rsidR="00404109" w:rsidRPr="00CF50D9" w:rsidRDefault="00404109" w:rsidP="00CF5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50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Toplam Çalışan*</w:t>
            </w:r>
          </w:p>
        </w:tc>
      </w:tr>
      <w:tr w:rsidR="009A42C3" w:rsidRPr="00CF50D9" w:rsidTr="009A42C3">
        <w:trPr>
          <w:trHeight w:val="315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129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İstanbul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42C3" w:rsidRPr="009A42C3" w:rsidRDefault="006F35F4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23.416</w:t>
            </w:r>
            <w:r w:rsidR="009A42C3" w:rsidRPr="009A42C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35.153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33.192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38.797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500.429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94.119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704.558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EEECE1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Batı Marmara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3.805</w:t>
            </w:r>
          </w:p>
        </w:tc>
        <w:tc>
          <w:tcPr>
            <w:tcW w:w="107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8.962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10.903</w:t>
            </w:r>
          </w:p>
        </w:tc>
        <w:tc>
          <w:tcPr>
            <w:tcW w:w="863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14.058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189.403</w:t>
            </w:r>
          </w:p>
        </w:tc>
        <w:tc>
          <w:tcPr>
            <w:tcW w:w="992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25.827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253.814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Ege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11.615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23.314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24.497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34.792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384.980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58.615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532.833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EEECE1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Doğu Marmara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11.093</w:t>
            </w:r>
          </w:p>
        </w:tc>
        <w:tc>
          <w:tcPr>
            <w:tcW w:w="107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37.127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31.396</w:t>
            </w:r>
          </w:p>
        </w:tc>
        <w:tc>
          <w:tcPr>
            <w:tcW w:w="863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42.331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502.608</w:t>
            </w:r>
          </w:p>
        </w:tc>
        <w:tc>
          <w:tcPr>
            <w:tcW w:w="992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79.680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706.923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Batı Anadolu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8.628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30.245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25.113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21.871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159.522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36.808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275.331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EEECE1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12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Akdeniz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6.935</w:t>
            </w:r>
          </w:p>
        </w:tc>
        <w:tc>
          <w:tcPr>
            <w:tcW w:w="107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9.824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10.958</w:t>
            </w:r>
          </w:p>
        </w:tc>
        <w:tc>
          <w:tcPr>
            <w:tcW w:w="863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20.530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191.362</w:t>
            </w:r>
          </w:p>
        </w:tc>
        <w:tc>
          <w:tcPr>
            <w:tcW w:w="992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26.958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261.990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Orta Anadolu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2.996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4.336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4.469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7.239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93.705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12.423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123.505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EEECE1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Batı Karadeniz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2.470</w:t>
            </w:r>
          </w:p>
        </w:tc>
        <w:tc>
          <w:tcPr>
            <w:tcW w:w="107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4.236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4.453</w:t>
            </w:r>
          </w:p>
        </w:tc>
        <w:tc>
          <w:tcPr>
            <w:tcW w:w="863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12.581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103.107</w:t>
            </w:r>
          </w:p>
        </w:tc>
        <w:tc>
          <w:tcPr>
            <w:tcW w:w="992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11.753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139.918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Doğu Karadeniz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1.803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1.920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3.608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44.697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4.906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57.394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EEECE1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312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Kuzeydoğu Anadolu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7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863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9.140</w:t>
            </w:r>
          </w:p>
        </w:tc>
        <w:tc>
          <w:tcPr>
            <w:tcW w:w="992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1.244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14.444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Ortadoğu Anadolu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1.468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1.120</w:t>
            </w:r>
          </w:p>
        </w:tc>
        <w:tc>
          <w:tcPr>
            <w:tcW w:w="863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4.120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39.894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3.305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50.089</w:t>
            </w:r>
          </w:p>
        </w:tc>
      </w:tr>
      <w:tr w:rsidR="009A42C3" w:rsidRPr="00CF50D9" w:rsidTr="00244E51">
        <w:trPr>
          <w:trHeight w:val="300"/>
        </w:trPr>
        <w:tc>
          <w:tcPr>
            <w:tcW w:w="2410" w:type="dxa"/>
            <w:shd w:val="clear" w:color="000000" w:fill="EEECE1"/>
            <w:noWrap/>
            <w:vAlign w:val="bottom"/>
            <w:hideMark/>
          </w:tcPr>
          <w:p w:rsidR="009A42C3" w:rsidRPr="00312906" w:rsidRDefault="009A42C3" w:rsidP="009A42C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129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>Güneydoğu Anadolu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5.052</w:t>
            </w:r>
          </w:p>
        </w:tc>
        <w:tc>
          <w:tcPr>
            <w:tcW w:w="107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3.458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3.581</w:t>
            </w:r>
          </w:p>
        </w:tc>
        <w:tc>
          <w:tcPr>
            <w:tcW w:w="863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12.385</w:t>
            </w:r>
          </w:p>
        </w:tc>
        <w:tc>
          <w:tcPr>
            <w:tcW w:w="1134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151.724</w:t>
            </w:r>
          </w:p>
        </w:tc>
        <w:tc>
          <w:tcPr>
            <w:tcW w:w="992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14.025</w:t>
            </w:r>
          </w:p>
        </w:tc>
        <w:tc>
          <w:tcPr>
            <w:tcW w:w="1276" w:type="dxa"/>
            <w:shd w:val="clear" w:color="000000" w:fill="EEECE1"/>
            <w:noWrap/>
            <w:vAlign w:val="bottom"/>
            <w:hideMark/>
          </w:tcPr>
          <w:p w:rsidR="009A42C3" w:rsidRPr="009A42C3" w:rsidRDefault="009A42C3" w:rsidP="009A42C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color w:val="000000"/>
                <w:sz w:val="20"/>
                <w:szCs w:val="20"/>
              </w:rPr>
              <w:t>185.589</w:t>
            </w:r>
          </w:p>
        </w:tc>
      </w:tr>
      <w:tr w:rsidR="009A42C3" w:rsidRPr="00CF50D9" w:rsidTr="009A42C3">
        <w:trPr>
          <w:trHeight w:val="468"/>
        </w:trPr>
        <w:tc>
          <w:tcPr>
            <w:tcW w:w="2410" w:type="dxa"/>
            <w:shd w:val="clear" w:color="000000" w:fill="F0E68C"/>
            <w:vAlign w:val="center"/>
            <w:hideMark/>
          </w:tcPr>
          <w:p w:rsidR="009A42C3" w:rsidRPr="00D24635" w:rsidRDefault="009A42C3" w:rsidP="009A42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D24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 TOPLAM </w:t>
            </w:r>
          </w:p>
        </w:tc>
        <w:tc>
          <w:tcPr>
            <w:tcW w:w="1276" w:type="dxa"/>
            <w:shd w:val="clear" w:color="000000" w:fill="F0E68C"/>
            <w:vAlign w:val="bottom"/>
            <w:hideMark/>
          </w:tcPr>
          <w:p w:rsidR="009A42C3" w:rsidRPr="009A42C3" w:rsidRDefault="006F35F4" w:rsidP="009A4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79.221</w:t>
            </w:r>
            <w:r w:rsidR="009A42C3" w:rsidRPr="009A4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74" w:type="dxa"/>
            <w:shd w:val="clear" w:color="000000" w:fill="F0E68C"/>
            <w:vAlign w:val="bottom"/>
            <w:hideMark/>
          </w:tcPr>
          <w:p w:rsidR="009A42C3" w:rsidRPr="009A42C3" w:rsidRDefault="009A42C3" w:rsidP="009A4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160.521    </w:t>
            </w:r>
          </w:p>
        </w:tc>
        <w:tc>
          <w:tcPr>
            <w:tcW w:w="1134" w:type="dxa"/>
            <w:shd w:val="clear" w:color="000000" w:fill="F0E68C"/>
            <w:vAlign w:val="bottom"/>
            <w:hideMark/>
          </w:tcPr>
          <w:p w:rsidR="009A42C3" w:rsidRPr="009A42C3" w:rsidRDefault="009A42C3" w:rsidP="009A4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152.195    </w:t>
            </w:r>
          </w:p>
        </w:tc>
        <w:tc>
          <w:tcPr>
            <w:tcW w:w="863" w:type="dxa"/>
            <w:shd w:val="clear" w:color="000000" w:fill="F0E68C"/>
            <w:vAlign w:val="bottom"/>
            <w:hideMark/>
          </w:tcPr>
          <w:p w:rsidR="009A42C3" w:rsidRPr="009A42C3" w:rsidRDefault="009A42C3" w:rsidP="009A4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213.756    </w:t>
            </w:r>
          </w:p>
        </w:tc>
        <w:tc>
          <w:tcPr>
            <w:tcW w:w="1134" w:type="dxa"/>
            <w:shd w:val="clear" w:color="000000" w:fill="F0E68C"/>
            <w:vAlign w:val="bottom"/>
            <w:hideMark/>
          </w:tcPr>
          <w:p w:rsidR="009A42C3" w:rsidRPr="009A42C3" w:rsidRDefault="009A42C3" w:rsidP="009A4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2.370.571    </w:t>
            </w:r>
          </w:p>
        </w:tc>
        <w:tc>
          <w:tcPr>
            <w:tcW w:w="992" w:type="dxa"/>
            <w:shd w:val="clear" w:color="000000" w:fill="F0E68C"/>
            <w:vAlign w:val="bottom"/>
            <w:hideMark/>
          </w:tcPr>
          <w:p w:rsidR="009A42C3" w:rsidRPr="009A42C3" w:rsidRDefault="009A42C3" w:rsidP="009A4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369.663    </w:t>
            </w:r>
          </w:p>
        </w:tc>
        <w:tc>
          <w:tcPr>
            <w:tcW w:w="1276" w:type="dxa"/>
            <w:shd w:val="clear" w:color="000000" w:fill="F0E68C"/>
            <w:vAlign w:val="bottom"/>
            <w:hideMark/>
          </w:tcPr>
          <w:p w:rsidR="009A42C3" w:rsidRPr="009A42C3" w:rsidRDefault="009A42C3" w:rsidP="009A42C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42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3.306.388    </w:t>
            </w:r>
          </w:p>
        </w:tc>
      </w:tr>
      <w:tr w:rsidR="00404109" w:rsidRPr="00CF50D9" w:rsidTr="00404109">
        <w:trPr>
          <w:trHeight w:val="300"/>
        </w:trPr>
        <w:tc>
          <w:tcPr>
            <w:tcW w:w="10159" w:type="dxa"/>
            <w:gridSpan w:val="8"/>
            <w:shd w:val="clear" w:color="000000" w:fill="F0E68C"/>
          </w:tcPr>
          <w:p w:rsidR="00404109" w:rsidRPr="00D02458" w:rsidRDefault="00404109" w:rsidP="00CF50D9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tr-TR" w:eastAsia="tr-TR"/>
              </w:rPr>
            </w:pPr>
            <w:r w:rsidRPr="00D02458">
              <w:rPr>
                <w:rFonts w:ascii="Arial" w:eastAsia="Times New Roman" w:hAnsi="Arial" w:cs="Arial"/>
                <w:color w:val="FF0000"/>
                <w:sz w:val="18"/>
                <w:szCs w:val="18"/>
                <w:lang w:val="tr-TR" w:eastAsia="tr-TR"/>
              </w:rPr>
              <w:t xml:space="preserve">* Tabloda gözükmemesine rağmen toplam çalışan içine diğer personel (geçici, mevsimlik vb.) de </w:t>
            </w:r>
            <w:proofErr w:type="gramStart"/>
            <w:r w:rsidRPr="00D02458">
              <w:rPr>
                <w:rFonts w:ascii="Arial" w:eastAsia="Times New Roman" w:hAnsi="Arial" w:cs="Arial"/>
                <w:color w:val="FF0000"/>
                <w:sz w:val="18"/>
                <w:szCs w:val="18"/>
                <w:lang w:val="tr-TR" w:eastAsia="tr-TR"/>
              </w:rPr>
              <w:t>dahil</w:t>
            </w:r>
            <w:proofErr w:type="gramEnd"/>
            <w:r w:rsidRPr="00D02458">
              <w:rPr>
                <w:rFonts w:ascii="Arial" w:eastAsia="Times New Roman" w:hAnsi="Arial" w:cs="Arial"/>
                <w:color w:val="FF0000"/>
                <w:sz w:val="18"/>
                <w:szCs w:val="18"/>
                <w:lang w:val="tr-TR" w:eastAsia="tr-TR"/>
              </w:rPr>
              <w:t xml:space="preserve"> edilmiştir. </w:t>
            </w:r>
          </w:p>
          <w:p w:rsidR="00404109" w:rsidRPr="00CF50D9" w:rsidRDefault="00404109" w:rsidP="00CF50D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D02458">
              <w:rPr>
                <w:rFonts w:ascii="Arial" w:eastAsia="Times New Roman" w:hAnsi="Arial" w:cs="Arial"/>
                <w:color w:val="FF0000"/>
                <w:sz w:val="18"/>
                <w:szCs w:val="18"/>
                <w:lang w:val="tr-TR" w:eastAsia="tr-TR"/>
              </w:rPr>
              <w:t>Not: İBBS: İstatistiksel Bölge Birimleri Sınıflandırması</w:t>
            </w:r>
          </w:p>
        </w:tc>
      </w:tr>
    </w:tbl>
    <w:p w:rsidR="00A16928" w:rsidRDefault="00A16928" w:rsidP="00A16928">
      <w:pPr>
        <w:pStyle w:val="ListeParagraf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:rsidR="00D6061E" w:rsidRPr="002937C9" w:rsidRDefault="007E14CB" w:rsidP="00D6061E">
      <w:pPr>
        <w:pStyle w:val="ListeParagraf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tr-TR"/>
        </w:rPr>
      </w:pPr>
      <w:r w:rsidRPr="00FF1EF5">
        <w:rPr>
          <w:noProof/>
          <w:lang w:val="tr-TR" w:eastAsia="tr-TR"/>
        </w:rPr>
        <w:drawing>
          <wp:inline distT="0" distB="0" distL="0" distR="0">
            <wp:extent cx="6444615" cy="2705100"/>
            <wp:effectExtent l="0" t="0" r="0" b="0"/>
            <wp:docPr id="3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222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5"/>
        <w:gridCol w:w="960"/>
        <w:gridCol w:w="1080"/>
        <w:gridCol w:w="6840"/>
        <w:gridCol w:w="1300"/>
        <w:gridCol w:w="960"/>
        <w:gridCol w:w="1080"/>
      </w:tblGrid>
      <w:tr w:rsidR="00E91A30" w:rsidRPr="00E91A30" w:rsidTr="00D42A94">
        <w:trPr>
          <w:trHeight w:val="300"/>
        </w:trPr>
        <w:tc>
          <w:tcPr>
            <w:tcW w:w="1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0" w:rsidRPr="00E91A30" w:rsidRDefault="00E91A30" w:rsidP="00E91A30">
            <w:pPr>
              <w:spacing w:after="0" w:line="240" w:lineRule="auto"/>
              <w:rPr>
                <w:rFonts w:eastAsia="Times New Roman" w:cs="Calibri"/>
                <w:color w:val="000000"/>
                <w:lang w:val="tr-TR"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91A30" w:rsidRPr="00E91A30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1A30" w:rsidRPr="00E91A30" w:rsidRDefault="00E91A30" w:rsidP="00E91A3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tr-TR" w:eastAsia="tr-TR"/>
                    </w:rPr>
                  </w:pPr>
                </w:p>
              </w:tc>
            </w:tr>
          </w:tbl>
          <w:p w:rsidR="00E91A30" w:rsidRPr="00E91A30" w:rsidRDefault="00E91A30" w:rsidP="00E91A30">
            <w:pPr>
              <w:spacing w:after="0" w:line="240" w:lineRule="auto"/>
              <w:rPr>
                <w:rFonts w:eastAsia="Times New Roman" w:cs="Calibri"/>
                <w:color w:val="000000"/>
                <w:lang w:val="tr-TR" w:eastAsia="tr-T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0" w:rsidRPr="00E91A30" w:rsidRDefault="00E91A30" w:rsidP="00E91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0" w:rsidRPr="00E91A30" w:rsidRDefault="00E91A30" w:rsidP="00E91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0" w:rsidRPr="00E91A30" w:rsidRDefault="00E91A30" w:rsidP="00E91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A30" w:rsidRPr="00E91A30" w:rsidRDefault="00E91A30" w:rsidP="00E91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  <w:tr w:rsidR="00CF50D9" w:rsidRPr="00E91A30" w:rsidTr="00D42A94">
        <w:trPr>
          <w:gridAfter w:val="4"/>
          <w:wAfter w:w="10180" w:type="dxa"/>
          <w:trHeight w:val="300"/>
        </w:trPr>
        <w:tc>
          <w:tcPr>
            <w:tcW w:w="9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D9" w:rsidRPr="00E91A30" w:rsidRDefault="007E14CB" w:rsidP="00E91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  <w:r w:rsidRPr="00D42A94"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6283325" cy="2895600"/>
                  <wp:effectExtent l="0" t="0" r="0" b="0"/>
                  <wp:docPr id="2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0D9" w:rsidRPr="00E91A30" w:rsidRDefault="00CF50D9" w:rsidP="00E91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D9" w:rsidRPr="00E91A30" w:rsidRDefault="00CF50D9" w:rsidP="00E91A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tr-TR" w:eastAsia="tr-TR"/>
              </w:rPr>
            </w:pPr>
          </w:p>
        </w:tc>
      </w:tr>
    </w:tbl>
    <w:p w:rsidR="00CF50D9" w:rsidRDefault="00CF50D9" w:rsidP="00D6061E">
      <w:pPr>
        <w:pStyle w:val="ListeParagraf"/>
        <w:spacing w:after="0" w:line="240" w:lineRule="auto"/>
        <w:ind w:left="0"/>
        <w:rPr>
          <w:rFonts w:ascii="Arial" w:hAnsi="Arial" w:cs="Arial"/>
          <w:sz w:val="20"/>
          <w:szCs w:val="20"/>
          <w:lang w:val="tr-TR"/>
        </w:rPr>
      </w:pPr>
    </w:p>
    <w:p w:rsidR="00D6061E" w:rsidRPr="002937C9" w:rsidRDefault="00D6061E" w:rsidP="00D6061E">
      <w:pPr>
        <w:pStyle w:val="ListeParagraf"/>
        <w:spacing w:after="0" w:line="240" w:lineRule="auto"/>
        <w:ind w:left="0"/>
        <w:rPr>
          <w:rFonts w:ascii="Arial" w:hAnsi="Arial" w:cs="Arial"/>
          <w:sz w:val="20"/>
          <w:szCs w:val="20"/>
          <w:lang w:val="tr-TR"/>
        </w:rPr>
      </w:pPr>
      <w:r w:rsidRPr="002937C9">
        <w:rPr>
          <w:rFonts w:ascii="Arial" w:hAnsi="Arial" w:cs="Arial"/>
          <w:sz w:val="20"/>
          <w:szCs w:val="20"/>
          <w:lang w:val="tr-TR"/>
        </w:rPr>
        <w:t>Bir sonraki haber</w:t>
      </w:r>
      <w:r w:rsidR="00B801A3">
        <w:rPr>
          <w:rFonts w:ascii="Arial" w:hAnsi="Arial" w:cs="Arial"/>
          <w:sz w:val="20"/>
          <w:szCs w:val="20"/>
          <w:lang w:val="tr-TR"/>
        </w:rPr>
        <w:t xml:space="preserve"> bültenini</w:t>
      </w:r>
      <w:r w:rsidR="00A646F3">
        <w:rPr>
          <w:rFonts w:ascii="Arial" w:hAnsi="Arial" w:cs="Arial"/>
          <w:sz w:val="20"/>
          <w:szCs w:val="20"/>
          <w:lang w:val="tr-TR"/>
        </w:rPr>
        <w:t xml:space="preserve">n yayımlanma tarihi </w:t>
      </w:r>
      <w:r w:rsidR="00D152AC">
        <w:rPr>
          <w:rFonts w:ascii="Arial" w:hAnsi="Arial" w:cs="Arial"/>
          <w:sz w:val="20"/>
          <w:szCs w:val="20"/>
          <w:lang w:val="tr-TR"/>
        </w:rPr>
        <w:t>28 Ocak 2022</w:t>
      </w:r>
    </w:p>
    <w:p w:rsidR="003564A3" w:rsidRPr="002937C9" w:rsidRDefault="003564A3" w:rsidP="00D6061E">
      <w:pPr>
        <w:pStyle w:val="ListeParagraf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tr-TR"/>
        </w:rPr>
      </w:pPr>
      <w:r w:rsidRPr="002937C9">
        <w:rPr>
          <w:rFonts w:ascii="Arial" w:hAnsi="Arial" w:cs="Arial"/>
          <w:b/>
          <w:sz w:val="20"/>
          <w:szCs w:val="20"/>
          <w:lang w:val="tr-TR"/>
        </w:rPr>
        <w:t xml:space="preserve">Ayrıntılı tablo ve grafiklere </w:t>
      </w:r>
      <w:hyperlink r:id="rId10" w:history="1">
        <w:r w:rsidRPr="002937C9">
          <w:rPr>
            <w:rStyle w:val="Kpr"/>
            <w:rFonts w:ascii="Arial" w:hAnsi="Arial" w:cs="Arial"/>
            <w:b/>
            <w:sz w:val="20"/>
            <w:szCs w:val="20"/>
            <w:lang w:val="tr-TR"/>
          </w:rPr>
          <w:t>www.tobb.org.tr</w:t>
        </w:r>
      </w:hyperlink>
      <w:r w:rsidRPr="002937C9">
        <w:rPr>
          <w:rFonts w:ascii="Arial" w:hAnsi="Arial" w:cs="Arial"/>
          <w:b/>
          <w:sz w:val="20"/>
          <w:szCs w:val="20"/>
          <w:lang w:val="tr-TR"/>
        </w:rPr>
        <w:t xml:space="preserve"> web sitesi üzerinden erişebilirsiniz</w:t>
      </w:r>
    </w:p>
    <w:p w:rsidR="003564A3" w:rsidRPr="002937C9" w:rsidRDefault="003564A3" w:rsidP="00D6061E">
      <w:pPr>
        <w:pStyle w:val="ListeParagraf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tr-TR"/>
        </w:rPr>
      </w:pPr>
    </w:p>
    <w:sectPr w:rsidR="003564A3" w:rsidRPr="002937C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4F" w:rsidRDefault="0084314F" w:rsidP="00665F67">
      <w:pPr>
        <w:spacing w:after="0" w:line="240" w:lineRule="auto"/>
      </w:pPr>
      <w:r>
        <w:separator/>
      </w:r>
    </w:p>
  </w:endnote>
  <w:endnote w:type="continuationSeparator" w:id="0">
    <w:p w:rsidR="0084314F" w:rsidRDefault="0084314F" w:rsidP="0066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ED" w:rsidRPr="00076CD8" w:rsidRDefault="00611DED" w:rsidP="00570FBF">
    <w:pPr>
      <w:pStyle w:val="Altbilgi"/>
      <w:pBdr>
        <w:top w:val="single" w:sz="4" w:space="1" w:color="auto"/>
      </w:pBdr>
      <w:jc w:val="right"/>
    </w:pPr>
    <w:proofErr w:type="spellStart"/>
    <w:r w:rsidRPr="00076CD8">
      <w:t>Bilgi</w:t>
    </w:r>
    <w:proofErr w:type="spellEnd"/>
    <w:r w:rsidRPr="00076CD8">
      <w:t xml:space="preserve"> </w:t>
    </w:r>
    <w:proofErr w:type="spellStart"/>
    <w:r w:rsidRPr="00076CD8">
      <w:t>Hizmetleri</w:t>
    </w:r>
    <w:proofErr w:type="spellEnd"/>
    <w:r w:rsidRPr="00076CD8">
      <w:t xml:space="preserve"> </w:t>
    </w:r>
    <w:proofErr w:type="spellStart"/>
    <w:r w:rsidRPr="00076CD8">
      <w:t>Dairesi</w:t>
    </w:r>
    <w:proofErr w:type="spellEnd"/>
    <w:r w:rsidRPr="00076CD8">
      <w:t xml:space="preserve">                                                                                                                          </w:t>
    </w:r>
    <w:r w:rsidRPr="00076CD8">
      <w:rPr>
        <w:lang w:val="tr-TR"/>
      </w:rPr>
      <w:t xml:space="preserve">Sayfa </w:t>
    </w:r>
    <w:r w:rsidRPr="00076CD8">
      <w:rPr>
        <w:bCs/>
        <w:sz w:val="24"/>
        <w:szCs w:val="24"/>
      </w:rPr>
      <w:fldChar w:fldCharType="begin"/>
    </w:r>
    <w:r w:rsidRPr="00076CD8">
      <w:rPr>
        <w:bCs/>
      </w:rPr>
      <w:instrText>PAGE</w:instrText>
    </w:r>
    <w:r w:rsidRPr="00076CD8">
      <w:rPr>
        <w:bCs/>
        <w:sz w:val="24"/>
        <w:szCs w:val="24"/>
      </w:rPr>
      <w:fldChar w:fldCharType="separate"/>
    </w:r>
    <w:r w:rsidR="00FE3B36">
      <w:rPr>
        <w:bCs/>
        <w:noProof/>
      </w:rPr>
      <w:t>2</w:t>
    </w:r>
    <w:r w:rsidRPr="00076CD8">
      <w:rPr>
        <w:bCs/>
        <w:sz w:val="24"/>
        <w:szCs w:val="24"/>
      </w:rPr>
      <w:fldChar w:fldCharType="end"/>
    </w:r>
    <w:r w:rsidRPr="00076CD8">
      <w:rPr>
        <w:lang w:val="tr-TR"/>
      </w:rPr>
      <w:t xml:space="preserve"> / </w:t>
    </w:r>
    <w:r w:rsidRPr="00076CD8">
      <w:rPr>
        <w:bCs/>
        <w:sz w:val="24"/>
        <w:szCs w:val="24"/>
      </w:rPr>
      <w:fldChar w:fldCharType="begin"/>
    </w:r>
    <w:r w:rsidRPr="00076CD8">
      <w:rPr>
        <w:bCs/>
      </w:rPr>
      <w:instrText>NUMPAGES</w:instrText>
    </w:r>
    <w:r w:rsidRPr="00076CD8">
      <w:rPr>
        <w:bCs/>
        <w:sz w:val="24"/>
        <w:szCs w:val="24"/>
      </w:rPr>
      <w:fldChar w:fldCharType="separate"/>
    </w:r>
    <w:r w:rsidR="00FE3B36">
      <w:rPr>
        <w:bCs/>
        <w:noProof/>
      </w:rPr>
      <w:t>4</w:t>
    </w:r>
    <w:r w:rsidRPr="00076CD8">
      <w:rPr>
        <w:bCs/>
        <w:sz w:val="24"/>
        <w:szCs w:val="24"/>
      </w:rPr>
      <w:fldChar w:fldCharType="end"/>
    </w:r>
  </w:p>
  <w:p w:rsidR="00611DED" w:rsidRDefault="00611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4F" w:rsidRDefault="0084314F" w:rsidP="00665F67">
      <w:pPr>
        <w:spacing w:after="0" w:line="240" w:lineRule="auto"/>
      </w:pPr>
      <w:r>
        <w:separator/>
      </w:r>
    </w:p>
  </w:footnote>
  <w:footnote w:type="continuationSeparator" w:id="0">
    <w:p w:rsidR="0084314F" w:rsidRDefault="0084314F" w:rsidP="0066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ED" w:rsidRPr="00DE36EF" w:rsidRDefault="007E14CB" w:rsidP="00C764A9">
    <w:pPr>
      <w:pStyle w:val="AralkYok"/>
      <w:jc w:val="center"/>
      <w:rPr>
        <w:b/>
        <w:sz w:val="36"/>
        <w:szCs w:val="36"/>
      </w:rPr>
    </w:pPr>
    <w:r w:rsidRPr="00DE36EF">
      <w:rPr>
        <w:b/>
        <w:noProof/>
        <w:sz w:val="36"/>
        <w:szCs w:val="36"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-106045</wp:posOffset>
          </wp:positionV>
          <wp:extent cx="781050" cy="781050"/>
          <wp:effectExtent l="0" t="0" r="0" b="0"/>
          <wp:wrapTight wrapText="bothSides">
            <wp:wrapPolygon edited="0">
              <wp:start x="6322" y="0"/>
              <wp:lineTo x="0" y="3161"/>
              <wp:lineTo x="0" y="14224"/>
              <wp:lineTo x="527" y="16859"/>
              <wp:lineTo x="5795" y="21073"/>
              <wp:lineTo x="6322" y="21073"/>
              <wp:lineTo x="14751" y="21073"/>
              <wp:lineTo x="15278" y="21073"/>
              <wp:lineTo x="20546" y="16859"/>
              <wp:lineTo x="21073" y="14224"/>
              <wp:lineTo x="21073" y="3161"/>
              <wp:lineTo x="14751" y="0"/>
              <wp:lineTo x="6322" y="0"/>
            </wp:wrapPolygon>
          </wp:wrapTight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DED" w:rsidRPr="00DE36EF">
      <w:rPr>
        <w:b/>
        <w:sz w:val="36"/>
        <w:szCs w:val="36"/>
      </w:rPr>
      <w:t>TÜRKİYE ODALAR VE BORSALAR BİRLİĞİ</w:t>
    </w:r>
  </w:p>
  <w:p w:rsidR="00611DED" w:rsidRPr="00C764A9" w:rsidRDefault="00D152AC" w:rsidP="00C764A9">
    <w:pPr>
      <w:pStyle w:val="AralkYok"/>
      <w:jc w:val="center"/>
      <w:rPr>
        <w:b/>
        <w:sz w:val="28"/>
        <w:szCs w:val="28"/>
      </w:rPr>
    </w:pPr>
    <w:r>
      <w:rPr>
        <w:b/>
        <w:sz w:val="28"/>
        <w:szCs w:val="28"/>
      </w:rPr>
      <w:t>2020</w:t>
    </w:r>
    <w:r w:rsidR="00611DED" w:rsidRPr="00C764A9">
      <w:rPr>
        <w:b/>
        <w:sz w:val="28"/>
        <w:szCs w:val="28"/>
      </w:rPr>
      <w:t xml:space="preserve"> YILI SANAYİ KAPASİTE RAPORU İSTATİSTİKLERİ</w:t>
    </w:r>
  </w:p>
  <w:p w:rsidR="00611DED" w:rsidRDefault="00611DED" w:rsidP="00C764A9">
    <w:pPr>
      <w:pStyle w:val="AralkYok"/>
      <w:jc w:val="center"/>
      <w:rPr>
        <w:b/>
        <w:sz w:val="28"/>
        <w:szCs w:val="28"/>
      </w:rPr>
    </w:pPr>
    <w:r w:rsidRPr="00C764A9">
      <w:rPr>
        <w:b/>
        <w:sz w:val="28"/>
        <w:szCs w:val="28"/>
      </w:rPr>
      <w:t>HABER BÜLTENİ</w:t>
    </w:r>
  </w:p>
  <w:p w:rsidR="00611DED" w:rsidRPr="00C764A9" w:rsidRDefault="00611DED" w:rsidP="00C764A9">
    <w:pPr>
      <w:pStyle w:val="AralkYok"/>
      <w:jc w:val="center"/>
      <w:rPr>
        <w:b/>
        <w:sz w:val="28"/>
        <w:szCs w:val="28"/>
      </w:rPr>
    </w:pPr>
  </w:p>
  <w:p w:rsidR="00611DED" w:rsidRDefault="00611DED">
    <w:pPr>
      <w:pStyle w:val="stbilgi"/>
      <w:rPr>
        <w:b/>
        <w:u w:val="single"/>
      </w:rPr>
    </w:pPr>
    <w:proofErr w:type="spellStart"/>
    <w:r w:rsidRPr="00076CD8">
      <w:rPr>
        <w:b/>
        <w:u w:val="single"/>
      </w:rPr>
      <w:t>Tarih</w:t>
    </w:r>
    <w:proofErr w:type="spellEnd"/>
    <w:r w:rsidRPr="00076CD8">
      <w:rPr>
        <w:b/>
        <w:u w:val="single"/>
      </w:rPr>
      <w:t xml:space="preserve">: </w:t>
    </w:r>
    <w:r w:rsidR="00D152AC">
      <w:rPr>
        <w:b/>
        <w:u w:val="single"/>
      </w:rPr>
      <w:t xml:space="preserve">29 </w:t>
    </w:r>
    <w:proofErr w:type="spellStart"/>
    <w:r w:rsidR="00D152AC">
      <w:rPr>
        <w:b/>
        <w:u w:val="single"/>
      </w:rPr>
      <w:t>Ocak</w:t>
    </w:r>
    <w:proofErr w:type="spellEnd"/>
    <w:r w:rsidR="00D152AC">
      <w:rPr>
        <w:b/>
        <w:u w:val="single"/>
      </w:rPr>
      <w:t xml:space="preserve"> 2021</w:t>
    </w:r>
    <w:r>
      <w:rPr>
        <w:b/>
        <w:u w:val="single"/>
      </w:rPr>
      <w:t xml:space="preserve">                                                                                                          </w:t>
    </w:r>
    <w:r w:rsidR="00D152AC">
      <w:rPr>
        <w:b/>
        <w:u w:val="single"/>
      </w:rPr>
      <w:t xml:space="preserve">                       </w:t>
    </w:r>
    <w:proofErr w:type="spellStart"/>
    <w:r w:rsidR="00D152AC">
      <w:rPr>
        <w:b/>
        <w:u w:val="single"/>
      </w:rPr>
      <w:t>Yıl</w:t>
    </w:r>
    <w:proofErr w:type="spellEnd"/>
    <w:r w:rsidR="00D152AC">
      <w:rPr>
        <w:b/>
        <w:u w:val="single"/>
      </w:rPr>
      <w:t>: 2020</w:t>
    </w:r>
  </w:p>
  <w:p w:rsidR="00611DED" w:rsidRPr="00076CD8" w:rsidRDefault="00611DED">
    <w:pPr>
      <w:pStyle w:val="stbilgi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77E"/>
    <w:multiLevelType w:val="hybridMultilevel"/>
    <w:tmpl w:val="4184D0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E639F"/>
    <w:multiLevelType w:val="hybridMultilevel"/>
    <w:tmpl w:val="1A407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3DF1"/>
    <w:multiLevelType w:val="hybridMultilevel"/>
    <w:tmpl w:val="EA182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0381F"/>
    <w:multiLevelType w:val="hybridMultilevel"/>
    <w:tmpl w:val="58E000D0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22"/>
    <w:rsid w:val="000004FC"/>
    <w:rsid w:val="000021E0"/>
    <w:rsid w:val="000024A7"/>
    <w:rsid w:val="00003254"/>
    <w:rsid w:val="00011D4A"/>
    <w:rsid w:val="000146FF"/>
    <w:rsid w:val="00016E2E"/>
    <w:rsid w:val="000225FC"/>
    <w:rsid w:val="0002322C"/>
    <w:rsid w:val="00026888"/>
    <w:rsid w:val="00027324"/>
    <w:rsid w:val="00027E7B"/>
    <w:rsid w:val="0003760D"/>
    <w:rsid w:val="000506AD"/>
    <w:rsid w:val="00060C25"/>
    <w:rsid w:val="00063F9D"/>
    <w:rsid w:val="000664C0"/>
    <w:rsid w:val="0006753F"/>
    <w:rsid w:val="00067752"/>
    <w:rsid w:val="00071935"/>
    <w:rsid w:val="00072375"/>
    <w:rsid w:val="00076CD8"/>
    <w:rsid w:val="0008288E"/>
    <w:rsid w:val="000852CD"/>
    <w:rsid w:val="000A1870"/>
    <w:rsid w:val="000A36D6"/>
    <w:rsid w:val="000A377C"/>
    <w:rsid w:val="000B1A6B"/>
    <w:rsid w:val="000B4EDB"/>
    <w:rsid w:val="000B5F00"/>
    <w:rsid w:val="000C0B12"/>
    <w:rsid w:val="000C342E"/>
    <w:rsid w:val="000C470E"/>
    <w:rsid w:val="000C7F4B"/>
    <w:rsid w:val="000D14A2"/>
    <w:rsid w:val="000D265A"/>
    <w:rsid w:val="000D676A"/>
    <w:rsid w:val="000E236C"/>
    <w:rsid w:val="000F0249"/>
    <w:rsid w:val="000F33B4"/>
    <w:rsid w:val="00117C2E"/>
    <w:rsid w:val="00121C96"/>
    <w:rsid w:val="00125216"/>
    <w:rsid w:val="00126690"/>
    <w:rsid w:val="00136C12"/>
    <w:rsid w:val="0014552E"/>
    <w:rsid w:val="001472BC"/>
    <w:rsid w:val="00150823"/>
    <w:rsid w:val="00157E32"/>
    <w:rsid w:val="00173258"/>
    <w:rsid w:val="001845C6"/>
    <w:rsid w:val="00191CB3"/>
    <w:rsid w:val="00195198"/>
    <w:rsid w:val="001956B7"/>
    <w:rsid w:val="001957CD"/>
    <w:rsid w:val="001A12FB"/>
    <w:rsid w:val="001B2433"/>
    <w:rsid w:val="001B3CBF"/>
    <w:rsid w:val="001B5650"/>
    <w:rsid w:val="001C05D5"/>
    <w:rsid w:val="001C285D"/>
    <w:rsid w:val="001C37DD"/>
    <w:rsid w:val="001C44F6"/>
    <w:rsid w:val="001D2A61"/>
    <w:rsid w:val="001E3676"/>
    <w:rsid w:val="001E44BD"/>
    <w:rsid w:val="001E646D"/>
    <w:rsid w:val="001F214D"/>
    <w:rsid w:val="001F2DA2"/>
    <w:rsid w:val="001F473A"/>
    <w:rsid w:val="002006E0"/>
    <w:rsid w:val="00214157"/>
    <w:rsid w:val="0021659B"/>
    <w:rsid w:val="00216C5A"/>
    <w:rsid w:val="002173B6"/>
    <w:rsid w:val="00217AFE"/>
    <w:rsid w:val="00226BCA"/>
    <w:rsid w:val="00232E4E"/>
    <w:rsid w:val="0024121C"/>
    <w:rsid w:val="00244E51"/>
    <w:rsid w:val="00247056"/>
    <w:rsid w:val="002534A8"/>
    <w:rsid w:val="00257E1B"/>
    <w:rsid w:val="00270481"/>
    <w:rsid w:val="00270972"/>
    <w:rsid w:val="0027193C"/>
    <w:rsid w:val="00274EA3"/>
    <w:rsid w:val="002875D7"/>
    <w:rsid w:val="002937C9"/>
    <w:rsid w:val="00295166"/>
    <w:rsid w:val="002A4498"/>
    <w:rsid w:val="002A6A66"/>
    <w:rsid w:val="002B262E"/>
    <w:rsid w:val="002B275D"/>
    <w:rsid w:val="002B2BF7"/>
    <w:rsid w:val="002B5584"/>
    <w:rsid w:val="002B7BB3"/>
    <w:rsid w:val="002C23AF"/>
    <w:rsid w:val="002C6EB2"/>
    <w:rsid w:val="002C770E"/>
    <w:rsid w:val="002D085F"/>
    <w:rsid w:val="002E7684"/>
    <w:rsid w:val="002E7785"/>
    <w:rsid w:val="002F15DE"/>
    <w:rsid w:val="002F2922"/>
    <w:rsid w:val="002F54E7"/>
    <w:rsid w:val="002F55FA"/>
    <w:rsid w:val="002F7E52"/>
    <w:rsid w:val="0030219A"/>
    <w:rsid w:val="003028A0"/>
    <w:rsid w:val="003029C3"/>
    <w:rsid w:val="00304E52"/>
    <w:rsid w:val="00305D09"/>
    <w:rsid w:val="00307003"/>
    <w:rsid w:val="00310695"/>
    <w:rsid w:val="00312906"/>
    <w:rsid w:val="003140BB"/>
    <w:rsid w:val="00322116"/>
    <w:rsid w:val="00322DD4"/>
    <w:rsid w:val="00323CCE"/>
    <w:rsid w:val="00323EE8"/>
    <w:rsid w:val="00325CD5"/>
    <w:rsid w:val="00337F06"/>
    <w:rsid w:val="00344AC0"/>
    <w:rsid w:val="003526D0"/>
    <w:rsid w:val="003564A3"/>
    <w:rsid w:val="00360833"/>
    <w:rsid w:val="00362430"/>
    <w:rsid w:val="0036399A"/>
    <w:rsid w:val="00363CB9"/>
    <w:rsid w:val="00364454"/>
    <w:rsid w:val="0037149F"/>
    <w:rsid w:val="00373B5C"/>
    <w:rsid w:val="0037409F"/>
    <w:rsid w:val="003842F6"/>
    <w:rsid w:val="00385800"/>
    <w:rsid w:val="00391951"/>
    <w:rsid w:val="00396CE8"/>
    <w:rsid w:val="003977D7"/>
    <w:rsid w:val="00397D56"/>
    <w:rsid w:val="003A39FE"/>
    <w:rsid w:val="003B1987"/>
    <w:rsid w:val="003B7CAA"/>
    <w:rsid w:val="003C0734"/>
    <w:rsid w:val="003C1BF5"/>
    <w:rsid w:val="003C3462"/>
    <w:rsid w:val="003C3B17"/>
    <w:rsid w:val="003D5008"/>
    <w:rsid w:val="003F24BD"/>
    <w:rsid w:val="003F5999"/>
    <w:rsid w:val="003F7090"/>
    <w:rsid w:val="00402B00"/>
    <w:rsid w:val="00404109"/>
    <w:rsid w:val="004179A8"/>
    <w:rsid w:val="004227FF"/>
    <w:rsid w:val="0042699E"/>
    <w:rsid w:val="00430C57"/>
    <w:rsid w:val="00435775"/>
    <w:rsid w:val="00450336"/>
    <w:rsid w:val="004540E6"/>
    <w:rsid w:val="004543AA"/>
    <w:rsid w:val="00457021"/>
    <w:rsid w:val="004618DF"/>
    <w:rsid w:val="00463099"/>
    <w:rsid w:val="004753CD"/>
    <w:rsid w:val="00477384"/>
    <w:rsid w:val="00480596"/>
    <w:rsid w:val="00483A9B"/>
    <w:rsid w:val="0048725B"/>
    <w:rsid w:val="0049091A"/>
    <w:rsid w:val="00490C5A"/>
    <w:rsid w:val="0049291A"/>
    <w:rsid w:val="004942CA"/>
    <w:rsid w:val="004A38B9"/>
    <w:rsid w:val="004B360D"/>
    <w:rsid w:val="004B39FB"/>
    <w:rsid w:val="004B7C45"/>
    <w:rsid w:val="004C3956"/>
    <w:rsid w:val="004C42E7"/>
    <w:rsid w:val="004C4ECC"/>
    <w:rsid w:val="004C7D31"/>
    <w:rsid w:val="004E0A30"/>
    <w:rsid w:val="004E4D8F"/>
    <w:rsid w:val="004E7EDD"/>
    <w:rsid w:val="004F0026"/>
    <w:rsid w:val="004F652D"/>
    <w:rsid w:val="004F6F42"/>
    <w:rsid w:val="00510290"/>
    <w:rsid w:val="0051787D"/>
    <w:rsid w:val="00517EF3"/>
    <w:rsid w:val="005221D8"/>
    <w:rsid w:val="00525AAE"/>
    <w:rsid w:val="00532C0E"/>
    <w:rsid w:val="0053755F"/>
    <w:rsid w:val="005476B2"/>
    <w:rsid w:val="00555209"/>
    <w:rsid w:val="00563363"/>
    <w:rsid w:val="00563AA5"/>
    <w:rsid w:val="00563B3E"/>
    <w:rsid w:val="00570FBF"/>
    <w:rsid w:val="0057317A"/>
    <w:rsid w:val="00573F00"/>
    <w:rsid w:val="005863EF"/>
    <w:rsid w:val="00587DA4"/>
    <w:rsid w:val="0059196C"/>
    <w:rsid w:val="0059557C"/>
    <w:rsid w:val="00595D1A"/>
    <w:rsid w:val="005A2490"/>
    <w:rsid w:val="005A37C7"/>
    <w:rsid w:val="005A584D"/>
    <w:rsid w:val="005C0D82"/>
    <w:rsid w:val="005C6CF8"/>
    <w:rsid w:val="005D1D96"/>
    <w:rsid w:val="005D4F72"/>
    <w:rsid w:val="005E456E"/>
    <w:rsid w:val="005F0ABB"/>
    <w:rsid w:val="005F6CAA"/>
    <w:rsid w:val="006019CC"/>
    <w:rsid w:val="006044C3"/>
    <w:rsid w:val="00604ED0"/>
    <w:rsid w:val="00605A89"/>
    <w:rsid w:val="00611DED"/>
    <w:rsid w:val="006164A1"/>
    <w:rsid w:val="0062568C"/>
    <w:rsid w:val="006272D4"/>
    <w:rsid w:val="006424F2"/>
    <w:rsid w:val="00643CAA"/>
    <w:rsid w:val="00646B9C"/>
    <w:rsid w:val="0064735D"/>
    <w:rsid w:val="006500BC"/>
    <w:rsid w:val="00651A26"/>
    <w:rsid w:val="006546EC"/>
    <w:rsid w:val="00655B72"/>
    <w:rsid w:val="006637C0"/>
    <w:rsid w:val="006637CA"/>
    <w:rsid w:val="00664FD2"/>
    <w:rsid w:val="00665F67"/>
    <w:rsid w:val="006673CF"/>
    <w:rsid w:val="0067220D"/>
    <w:rsid w:val="0067453C"/>
    <w:rsid w:val="00676187"/>
    <w:rsid w:val="006770CD"/>
    <w:rsid w:val="00683476"/>
    <w:rsid w:val="00683776"/>
    <w:rsid w:val="006840FC"/>
    <w:rsid w:val="00685790"/>
    <w:rsid w:val="00686BB0"/>
    <w:rsid w:val="006911EB"/>
    <w:rsid w:val="00693BA5"/>
    <w:rsid w:val="006A0550"/>
    <w:rsid w:val="006A5C53"/>
    <w:rsid w:val="006B0F3E"/>
    <w:rsid w:val="006B30FD"/>
    <w:rsid w:val="006B6E8E"/>
    <w:rsid w:val="006B7223"/>
    <w:rsid w:val="006C0CBF"/>
    <w:rsid w:val="006C661D"/>
    <w:rsid w:val="006C6EE1"/>
    <w:rsid w:val="006D5896"/>
    <w:rsid w:val="006E447A"/>
    <w:rsid w:val="006E449F"/>
    <w:rsid w:val="006E4CBF"/>
    <w:rsid w:val="006E6D20"/>
    <w:rsid w:val="006F2A67"/>
    <w:rsid w:val="006F2D21"/>
    <w:rsid w:val="006F35F4"/>
    <w:rsid w:val="006F56FC"/>
    <w:rsid w:val="00701AC7"/>
    <w:rsid w:val="007046D8"/>
    <w:rsid w:val="00705014"/>
    <w:rsid w:val="00715AD5"/>
    <w:rsid w:val="007165AB"/>
    <w:rsid w:val="00716B3F"/>
    <w:rsid w:val="00721A50"/>
    <w:rsid w:val="00725C63"/>
    <w:rsid w:val="00726CD9"/>
    <w:rsid w:val="00731370"/>
    <w:rsid w:val="00731E74"/>
    <w:rsid w:val="00735D1F"/>
    <w:rsid w:val="0073652A"/>
    <w:rsid w:val="007367AF"/>
    <w:rsid w:val="00736F37"/>
    <w:rsid w:val="00737477"/>
    <w:rsid w:val="00740B4D"/>
    <w:rsid w:val="007433EE"/>
    <w:rsid w:val="00743FB6"/>
    <w:rsid w:val="0074488E"/>
    <w:rsid w:val="00744E1F"/>
    <w:rsid w:val="007515B5"/>
    <w:rsid w:val="00753C7F"/>
    <w:rsid w:val="0075463F"/>
    <w:rsid w:val="0075521B"/>
    <w:rsid w:val="00756A3D"/>
    <w:rsid w:val="00757237"/>
    <w:rsid w:val="00757D64"/>
    <w:rsid w:val="007632CE"/>
    <w:rsid w:val="0076627A"/>
    <w:rsid w:val="0076678D"/>
    <w:rsid w:val="0077313F"/>
    <w:rsid w:val="00785341"/>
    <w:rsid w:val="007959C8"/>
    <w:rsid w:val="00796508"/>
    <w:rsid w:val="00796599"/>
    <w:rsid w:val="007A2C9B"/>
    <w:rsid w:val="007A5EC1"/>
    <w:rsid w:val="007A5F8E"/>
    <w:rsid w:val="007C0000"/>
    <w:rsid w:val="007C0BAD"/>
    <w:rsid w:val="007C2A98"/>
    <w:rsid w:val="007C5440"/>
    <w:rsid w:val="007D1A0B"/>
    <w:rsid w:val="007D1D84"/>
    <w:rsid w:val="007D4A36"/>
    <w:rsid w:val="007E14CB"/>
    <w:rsid w:val="007E3C92"/>
    <w:rsid w:val="007E591C"/>
    <w:rsid w:val="007E5CF5"/>
    <w:rsid w:val="007E75C9"/>
    <w:rsid w:val="00800C4D"/>
    <w:rsid w:val="00803564"/>
    <w:rsid w:val="00804A89"/>
    <w:rsid w:val="00805ED2"/>
    <w:rsid w:val="00812301"/>
    <w:rsid w:val="00820D05"/>
    <w:rsid w:val="00827726"/>
    <w:rsid w:val="008364E4"/>
    <w:rsid w:val="008422FD"/>
    <w:rsid w:val="0084314F"/>
    <w:rsid w:val="00851A15"/>
    <w:rsid w:val="00860A12"/>
    <w:rsid w:val="00861BF0"/>
    <w:rsid w:val="008622E1"/>
    <w:rsid w:val="00872D07"/>
    <w:rsid w:val="008861D0"/>
    <w:rsid w:val="00886479"/>
    <w:rsid w:val="008873A6"/>
    <w:rsid w:val="00890330"/>
    <w:rsid w:val="008940CB"/>
    <w:rsid w:val="00894214"/>
    <w:rsid w:val="00897865"/>
    <w:rsid w:val="008A0AD7"/>
    <w:rsid w:val="008A1384"/>
    <w:rsid w:val="008A2195"/>
    <w:rsid w:val="008B38D8"/>
    <w:rsid w:val="008B66F1"/>
    <w:rsid w:val="008B6B7A"/>
    <w:rsid w:val="008B70C0"/>
    <w:rsid w:val="008C15CD"/>
    <w:rsid w:val="008C25EC"/>
    <w:rsid w:val="008C2F36"/>
    <w:rsid w:val="008C48CD"/>
    <w:rsid w:val="008C54C5"/>
    <w:rsid w:val="008C7493"/>
    <w:rsid w:val="008D2E14"/>
    <w:rsid w:val="008D4851"/>
    <w:rsid w:val="008D5BA8"/>
    <w:rsid w:val="008D5E8D"/>
    <w:rsid w:val="008D6C8E"/>
    <w:rsid w:val="008D7DBE"/>
    <w:rsid w:val="008E3D16"/>
    <w:rsid w:val="008E5706"/>
    <w:rsid w:val="008E6F3E"/>
    <w:rsid w:val="008F2D08"/>
    <w:rsid w:val="008F7A92"/>
    <w:rsid w:val="00902C90"/>
    <w:rsid w:val="0090732D"/>
    <w:rsid w:val="0090784C"/>
    <w:rsid w:val="009200CF"/>
    <w:rsid w:val="00920496"/>
    <w:rsid w:val="0092078A"/>
    <w:rsid w:val="00925B6B"/>
    <w:rsid w:val="00934B79"/>
    <w:rsid w:val="009506AA"/>
    <w:rsid w:val="00953448"/>
    <w:rsid w:val="0095714C"/>
    <w:rsid w:val="009678AA"/>
    <w:rsid w:val="00976695"/>
    <w:rsid w:val="00983051"/>
    <w:rsid w:val="00983503"/>
    <w:rsid w:val="00986731"/>
    <w:rsid w:val="009914BB"/>
    <w:rsid w:val="00995F95"/>
    <w:rsid w:val="009A3E0E"/>
    <w:rsid w:val="009A42C3"/>
    <w:rsid w:val="009B079C"/>
    <w:rsid w:val="009B0F13"/>
    <w:rsid w:val="009B159F"/>
    <w:rsid w:val="009B283F"/>
    <w:rsid w:val="009B4651"/>
    <w:rsid w:val="009B62D8"/>
    <w:rsid w:val="009C38FF"/>
    <w:rsid w:val="009C500B"/>
    <w:rsid w:val="009C66B1"/>
    <w:rsid w:val="009C70AD"/>
    <w:rsid w:val="009C7F9B"/>
    <w:rsid w:val="009D1384"/>
    <w:rsid w:val="009D411D"/>
    <w:rsid w:val="009E0273"/>
    <w:rsid w:val="009E35A3"/>
    <w:rsid w:val="009F0AED"/>
    <w:rsid w:val="009F2736"/>
    <w:rsid w:val="009F28DE"/>
    <w:rsid w:val="009F477C"/>
    <w:rsid w:val="00A0019D"/>
    <w:rsid w:val="00A02BEB"/>
    <w:rsid w:val="00A032A4"/>
    <w:rsid w:val="00A03417"/>
    <w:rsid w:val="00A1615A"/>
    <w:rsid w:val="00A16928"/>
    <w:rsid w:val="00A16C46"/>
    <w:rsid w:val="00A217A0"/>
    <w:rsid w:val="00A23660"/>
    <w:rsid w:val="00A2426A"/>
    <w:rsid w:val="00A32F3D"/>
    <w:rsid w:val="00A41E24"/>
    <w:rsid w:val="00A4221A"/>
    <w:rsid w:val="00A43346"/>
    <w:rsid w:val="00A45937"/>
    <w:rsid w:val="00A50980"/>
    <w:rsid w:val="00A50C0B"/>
    <w:rsid w:val="00A50F7E"/>
    <w:rsid w:val="00A52187"/>
    <w:rsid w:val="00A614C7"/>
    <w:rsid w:val="00A646F3"/>
    <w:rsid w:val="00A67795"/>
    <w:rsid w:val="00A75505"/>
    <w:rsid w:val="00A77C89"/>
    <w:rsid w:val="00A84B9C"/>
    <w:rsid w:val="00A84E5E"/>
    <w:rsid w:val="00A85746"/>
    <w:rsid w:val="00A95281"/>
    <w:rsid w:val="00AA0200"/>
    <w:rsid w:val="00AA64D2"/>
    <w:rsid w:val="00AB1C0A"/>
    <w:rsid w:val="00AB50E2"/>
    <w:rsid w:val="00AC1C61"/>
    <w:rsid w:val="00AC4E1D"/>
    <w:rsid w:val="00AD3120"/>
    <w:rsid w:val="00AD3A6C"/>
    <w:rsid w:val="00AE33AD"/>
    <w:rsid w:val="00AE5922"/>
    <w:rsid w:val="00AE7DA1"/>
    <w:rsid w:val="00AF729F"/>
    <w:rsid w:val="00B01147"/>
    <w:rsid w:val="00B01CD2"/>
    <w:rsid w:val="00B078B9"/>
    <w:rsid w:val="00B1087D"/>
    <w:rsid w:val="00B26FE6"/>
    <w:rsid w:val="00B31E77"/>
    <w:rsid w:val="00B3219F"/>
    <w:rsid w:val="00B333FB"/>
    <w:rsid w:val="00B3630E"/>
    <w:rsid w:val="00B376B5"/>
    <w:rsid w:val="00B40BB0"/>
    <w:rsid w:val="00B42292"/>
    <w:rsid w:val="00B512F7"/>
    <w:rsid w:val="00B567E5"/>
    <w:rsid w:val="00B6279E"/>
    <w:rsid w:val="00B634D0"/>
    <w:rsid w:val="00B74268"/>
    <w:rsid w:val="00B779F0"/>
    <w:rsid w:val="00B801A3"/>
    <w:rsid w:val="00B85A70"/>
    <w:rsid w:val="00B909D7"/>
    <w:rsid w:val="00B917C4"/>
    <w:rsid w:val="00B941B6"/>
    <w:rsid w:val="00B94A0F"/>
    <w:rsid w:val="00BA4241"/>
    <w:rsid w:val="00BB0412"/>
    <w:rsid w:val="00BB2184"/>
    <w:rsid w:val="00BC043A"/>
    <w:rsid w:val="00BC0D7E"/>
    <w:rsid w:val="00BC35B4"/>
    <w:rsid w:val="00BC61F4"/>
    <w:rsid w:val="00BC7979"/>
    <w:rsid w:val="00BD2D08"/>
    <w:rsid w:val="00BD3527"/>
    <w:rsid w:val="00BE0011"/>
    <w:rsid w:val="00BE68A1"/>
    <w:rsid w:val="00BF741F"/>
    <w:rsid w:val="00C157EB"/>
    <w:rsid w:val="00C22A95"/>
    <w:rsid w:val="00C2577D"/>
    <w:rsid w:val="00C34646"/>
    <w:rsid w:val="00C35849"/>
    <w:rsid w:val="00C42A0B"/>
    <w:rsid w:val="00C43A8A"/>
    <w:rsid w:val="00C44CF2"/>
    <w:rsid w:val="00C46F52"/>
    <w:rsid w:val="00C52C8F"/>
    <w:rsid w:val="00C5687E"/>
    <w:rsid w:val="00C71347"/>
    <w:rsid w:val="00C7405E"/>
    <w:rsid w:val="00C764A9"/>
    <w:rsid w:val="00C76BA4"/>
    <w:rsid w:val="00C77652"/>
    <w:rsid w:val="00C80CCC"/>
    <w:rsid w:val="00C81110"/>
    <w:rsid w:val="00C818B6"/>
    <w:rsid w:val="00C86C05"/>
    <w:rsid w:val="00C903BD"/>
    <w:rsid w:val="00C93251"/>
    <w:rsid w:val="00C97808"/>
    <w:rsid w:val="00CA0CE5"/>
    <w:rsid w:val="00CA439B"/>
    <w:rsid w:val="00CB4D16"/>
    <w:rsid w:val="00CC0ECD"/>
    <w:rsid w:val="00CC252E"/>
    <w:rsid w:val="00CC2F14"/>
    <w:rsid w:val="00CC363F"/>
    <w:rsid w:val="00CC571B"/>
    <w:rsid w:val="00CC5E45"/>
    <w:rsid w:val="00CC724F"/>
    <w:rsid w:val="00CD3279"/>
    <w:rsid w:val="00CD57F4"/>
    <w:rsid w:val="00CD647F"/>
    <w:rsid w:val="00CD7339"/>
    <w:rsid w:val="00CE20E8"/>
    <w:rsid w:val="00CE43B9"/>
    <w:rsid w:val="00CF50D9"/>
    <w:rsid w:val="00CF5975"/>
    <w:rsid w:val="00CF717E"/>
    <w:rsid w:val="00CF752F"/>
    <w:rsid w:val="00D00762"/>
    <w:rsid w:val="00D008F9"/>
    <w:rsid w:val="00D02458"/>
    <w:rsid w:val="00D03F1E"/>
    <w:rsid w:val="00D048B9"/>
    <w:rsid w:val="00D05112"/>
    <w:rsid w:val="00D14168"/>
    <w:rsid w:val="00D152AC"/>
    <w:rsid w:val="00D20195"/>
    <w:rsid w:val="00D24635"/>
    <w:rsid w:val="00D25AFB"/>
    <w:rsid w:val="00D303EA"/>
    <w:rsid w:val="00D31DDA"/>
    <w:rsid w:val="00D331C9"/>
    <w:rsid w:val="00D3560F"/>
    <w:rsid w:val="00D36BD9"/>
    <w:rsid w:val="00D40B5A"/>
    <w:rsid w:val="00D42A94"/>
    <w:rsid w:val="00D54EEF"/>
    <w:rsid w:val="00D57BF9"/>
    <w:rsid w:val="00D6061E"/>
    <w:rsid w:val="00D63618"/>
    <w:rsid w:val="00D701E3"/>
    <w:rsid w:val="00D733C4"/>
    <w:rsid w:val="00D73DAC"/>
    <w:rsid w:val="00D80C86"/>
    <w:rsid w:val="00D81A6F"/>
    <w:rsid w:val="00D87C5B"/>
    <w:rsid w:val="00D95DE1"/>
    <w:rsid w:val="00DA4458"/>
    <w:rsid w:val="00DA44CD"/>
    <w:rsid w:val="00DA49D2"/>
    <w:rsid w:val="00DA7C00"/>
    <w:rsid w:val="00DB03BF"/>
    <w:rsid w:val="00DB4938"/>
    <w:rsid w:val="00DC160C"/>
    <w:rsid w:val="00DE36EF"/>
    <w:rsid w:val="00DE3D98"/>
    <w:rsid w:val="00DF0398"/>
    <w:rsid w:val="00DF736B"/>
    <w:rsid w:val="00E0068C"/>
    <w:rsid w:val="00E04176"/>
    <w:rsid w:val="00E06756"/>
    <w:rsid w:val="00E131EE"/>
    <w:rsid w:val="00E138E0"/>
    <w:rsid w:val="00E14382"/>
    <w:rsid w:val="00E148DA"/>
    <w:rsid w:val="00E150FC"/>
    <w:rsid w:val="00E157F0"/>
    <w:rsid w:val="00E165D8"/>
    <w:rsid w:val="00E22369"/>
    <w:rsid w:val="00E2350F"/>
    <w:rsid w:val="00E2391D"/>
    <w:rsid w:val="00E27120"/>
    <w:rsid w:val="00E2712F"/>
    <w:rsid w:val="00E33374"/>
    <w:rsid w:val="00E34802"/>
    <w:rsid w:val="00E40BD1"/>
    <w:rsid w:val="00E41C5E"/>
    <w:rsid w:val="00E41E24"/>
    <w:rsid w:val="00E44A95"/>
    <w:rsid w:val="00E44E18"/>
    <w:rsid w:val="00E57B93"/>
    <w:rsid w:val="00E6021A"/>
    <w:rsid w:val="00E607F3"/>
    <w:rsid w:val="00E6295B"/>
    <w:rsid w:val="00E64B87"/>
    <w:rsid w:val="00E67A66"/>
    <w:rsid w:val="00E713AE"/>
    <w:rsid w:val="00E72621"/>
    <w:rsid w:val="00E7348C"/>
    <w:rsid w:val="00E736F3"/>
    <w:rsid w:val="00E77484"/>
    <w:rsid w:val="00E86FAC"/>
    <w:rsid w:val="00E91A30"/>
    <w:rsid w:val="00EA496F"/>
    <w:rsid w:val="00EB28DD"/>
    <w:rsid w:val="00EB77A8"/>
    <w:rsid w:val="00EC07E1"/>
    <w:rsid w:val="00EC2BDB"/>
    <w:rsid w:val="00EC6206"/>
    <w:rsid w:val="00EC6745"/>
    <w:rsid w:val="00ED048C"/>
    <w:rsid w:val="00EE1C20"/>
    <w:rsid w:val="00EE1FA0"/>
    <w:rsid w:val="00EE6A30"/>
    <w:rsid w:val="00EF7649"/>
    <w:rsid w:val="00F0501C"/>
    <w:rsid w:val="00F07131"/>
    <w:rsid w:val="00F11FBF"/>
    <w:rsid w:val="00F1344A"/>
    <w:rsid w:val="00F158F7"/>
    <w:rsid w:val="00F15F1B"/>
    <w:rsid w:val="00F17672"/>
    <w:rsid w:val="00F25963"/>
    <w:rsid w:val="00F30871"/>
    <w:rsid w:val="00F351E6"/>
    <w:rsid w:val="00F35E0A"/>
    <w:rsid w:val="00F36471"/>
    <w:rsid w:val="00F45360"/>
    <w:rsid w:val="00F45997"/>
    <w:rsid w:val="00F51EEA"/>
    <w:rsid w:val="00F556B9"/>
    <w:rsid w:val="00F55882"/>
    <w:rsid w:val="00F578C6"/>
    <w:rsid w:val="00F6541B"/>
    <w:rsid w:val="00F7044E"/>
    <w:rsid w:val="00F77FC4"/>
    <w:rsid w:val="00F811C5"/>
    <w:rsid w:val="00F818C1"/>
    <w:rsid w:val="00F948ED"/>
    <w:rsid w:val="00FA588E"/>
    <w:rsid w:val="00FB0211"/>
    <w:rsid w:val="00FB3E34"/>
    <w:rsid w:val="00FC2D1F"/>
    <w:rsid w:val="00FC44B0"/>
    <w:rsid w:val="00FC5BE8"/>
    <w:rsid w:val="00FD3EE2"/>
    <w:rsid w:val="00FD414A"/>
    <w:rsid w:val="00FD56B9"/>
    <w:rsid w:val="00FE3B36"/>
    <w:rsid w:val="00FF18DB"/>
    <w:rsid w:val="00FF1BF7"/>
    <w:rsid w:val="00FF1EF5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A864645E-257D-4A56-88D7-4DA38622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2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29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65F67"/>
    <w:rPr>
      <w:rFonts w:ascii="Tahoma" w:eastAsia="Calibri" w:hAnsi="Tahoma" w:cs="Tahoma"/>
      <w:sz w:val="16"/>
      <w:szCs w:val="16"/>
      <w:lang w:val="en-US"/>
    </w:rPr>
  </w:style>
  <w:style w:type="paragraph" w:customStyle="1" w:styleId="stbilgi">
    <w:name w:val="Üstbilgi"/>
    <w:basedOn w:val="Normal"/>
    <w:link w:val="stbilgiChar"/>
    <w:uiPriority w:val="99"/>
    <w:unhideWhenUsed/>
    <w:rsid w:val="0066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665F67"/>
    <w:rPr>
      <w:rFonts w:ascii="Calibri" w:eastAsia="Calibri" w:hAnsi="Calibri" w:cs="Times New Roman"/>
      <w:lang w:val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66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665F67"/>
    <w:rPr>
      <w:rFonts w:ascii="Calibri" w:eastAsia="Calibri" w:hAnsi="Calibri" w:cs="Times New Roman"/>
      <w:lang w:val="en-US"/>
    </w:rPr>
  </w:style>
  <w:style w:type="character" w:styleId="Kpr">
    <w:name w:val="Hyperlink"/>
    <w:uiPriority w:val="99"/>
    <w:semiHidden/>
    <w:unhideWhenUsed/>
    <w:rsid w:val="00360833"/>
    <w:rPr>
      <w:color w:val="0000FF"/>
      <w:u w:val="single"/>
    </w:rPr>
  </w:style>
  <w:style w:type="paragraph" w:customStyle="1" w:styleId="2909F619802848F09E01365C32F34654">
    <w:name w:val="2909F619802848F09E01365C32F34654"/>
    <w:rsid w:val="006D5896"/>
    <w:pPr>
      <w:spacing w:after="200" w:line="276" w:lineRule="auto"/>
    </w:pPr>
    <w:rPr>
      <w:rFonts w:eastAsia="Times New Roman"/>
      <w:sz w:val="22"/>
      <w:szCs w:val="22"/>
    </w:rPr>
  </w:style>
  <w:style w:type="paragraph" w:styleId="Dzeltme">
    <w:name w:val="Revision"/>
    <w:hidden/>
    <w:uiPriority w:val="99"/>
    <w:semiHidden/>
    <w:rsid w:val="00323CCE"/>
    <w:rPr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C764A9"/>
    <w:rPr>
      <w:sz w:val="22"/>
      <w:szCs w:val="22"/>
      <w:lang w:val="en-US" w:eastAsia="en-US"/>
    </w:rPr>
  </w:style>
  <w:style w:type="character" w:styleId="AklamaBavurusu">
    <w:name w:val="annotation reference"/>
    <w:uiPriority w:val="99"/>
    <w:semiHidden/>
    <w:unhideWhenUsed/>
    <w:rsid w:val="00A521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218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5218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218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5218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bb.org.tr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smail.kara\Desktop\2020%20SANAY&#304;%20KAPAS&#304;TE%2031%20ARALIK%20son\san-kap-ist-2020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smail.kara\Desktop\2020%20SANAY&#304;%20KAPAS&#304;TE%2031%20ARALIK%20son%202\san-kap-ist-2020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Teknoloji Gruplarına Göre Kapasite Rapor Dağılımı</a:t>
            </a:r>
          </a:p>
        </c:rich>
      </c:tx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0805121229894E-2"/>
          <c:y val="0.1857159460566685"/>
          <c:w val="0.62172995412023579"/>
          <c:h val="0.71215625638108104"/>
        </c:manualLayout>
      </c:layout>
      <c:pie3DChart>
        <c:varyColors val="1"/>
        <c:ser>
          <c:idx val="0"/>
          <c:order val="0"/>
          <c:explosion val="14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34925"/>
            </c:spPr>
            <c:extLst>
              <c:ext xmlns:c16="http://schemas.microsoft.com/office/drawing/2014/chart" uri="{C3380CC4-5D6E-409C-BE32-E72D297353CC}">
                <c16:uniqueId val="{00000001-0740-47E8-B2BF-AE7A280D0A7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0740-47E8-B2BF-AE7A280D0A79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0740-47E8-B2BF-AE7A280D0A7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5-0740-47E8-B2BF-AE7A280D0A79}"/>
              </c:ext>
            </c:extLst>
          </c:dPt>
          <c:dLbls>
            <c:dLbl>
              <c:idx val="0"/>
              <c:layout>
                <c:manualLayout>
                  <c:x val="-5.0018663017009999E-3"/>
                  <c:y val="-3.106528871391076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b="1"/>
                    </a:pPr>
                    <a:r>
                      <a:rPr lang="en-US"/>
                      <a:t>2,40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0740-47E8-B2BF-AE7A280D0A79}"/>
                </c:ext>
              </c:extLst>
            </c:dLbl>
            <c:dLbl>
              <c:idx val="1"/>
              <c:layout>
                <c:manualLayout>
                  <c:x val="-7.3606998335140381E-2"/>
                  <c:y val="-0.11154265091863518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/>
                    </a:pPr>
                    <a:r>
                      <a:rPr lang="en-US"/>
                      <a:t>24,02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40-47E8-B2BF-AE7A280D0A79}"/>
                </c:ext>
              </c:extLst>
            </c:dLbl>
            <c:dLbl>
              <c:idx val="2"/>
              <c:layout>
                <c:manualLayout>
                  <c:x val="-5.6874211265352552E-3"/>
                  <c:y val="2.2631233595800525E-3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/>
                    </a:pPr>
                    <a:r>
                      <a:rPr lang="en-US" b="1"/>
                      <a:t>31,00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40-47E8-B2BF-AE7A280D0A79}"/>
                </c:ext>
              </c:extLst>
            </c:dLbl>
            <c:dLbl>
              <c:idx val="3"/>
              <c:layout>
                <c:manualLayout>
                  <c:x val="2.9699081068591038E-2"/>
                  <c:y val="-6.2214566929133859E-2"/>
                </c:manualLayout>
              </c:layout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b="1"/>
                    </a:pPr>
                    <a:r>
                      <a:rPr lang="en-US"/>
                      <a:t>44,00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40-47E8-B2BF-AE7A280D0A7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('Teknoloji Gruplarına Göre'!$A$7:$G$7,'Teknoloji Gruplarına Göre'!$A$12:$G$12,'Teknoloji Gruplarına Göre'!$A$21:$G$21,'Teknoloji Gruplarına Göre'!$A$31:$G$31)</c:f>
              <c:strCache>
                <c:ptCount val="4"/>
                <c:pt idx="0">
                  <c:v>Yüksek Teknoloji</c:v>
                </c:pt>
                <c:pt idx="1">
                  <c:v>Orta-Yüksek Teknoloji</c:v>
                </c:pt>
                <c:pt idx="2">
                  <c:v>Orta-Düşük Teknoloji</c:v>
                </c:pt>
                <c:pt idx="3">
                  <c:v>Düşük Teknoloji</c:v>
                </c:pt>
              </c:strCache>
            </c:strRef>
          </c:cat>
          <c:val>
            <c:numRef>
              <c:f>('[1]Teknoloji Gruplarına Göre'!$D$11,'[1]Teknoloji Gruplarına Göre'!$D$20,'[1]Teknoloji Gruplarına Göre'!$D$30,'[1]Teknoloji Gruplarına Göre'!$D$43)</c:f>
              <c:numCache>
                <c:formatCode>General</c:formatCode>
                <c:ptCount val="4"/>
                <c:pt idx="0">
                  <c:v>2.1968273846796076</c:v>
                </c:pt>
                <c:pt idx="1">
                  <c:v>24.062043414735964</c:v>
                </c:pt>
                <c:pt idx="2">
                  <c:v>33.521185556251304</c:v>
                </c:pt>
                <c:pt idx="3">
                  <c:v>40.219943644333121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40-47E8-B2BF-AE7A280D0A79}"/>
            </c:ext>
          </c:extLst>
        </c:ser>
        <c:ser>
          <c:idx val="2"/>
          <c:order val="1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34925"/>
            </c:spPr>
            <c:extLst>
              <c:ext xmlns:c16="http://schemas.microsoft.com/office/drawing/2014/chart" uri="{C3380CC4-5D6E-409C-BE32-E72D297353CC}">
                <c16:uniqueId val="{00000008-0740-47E8-B2BF-AE7A280D0A7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0740-47E8-B2BF-AE7A280D0A79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0740-47E8-B2BF-AE7A280D0A7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0740-47E8-B2BF-AE7A280D0A79}"/>
              </c:ext>
            </c:extLst>
          </c:dPt>
          <c:cat>
            <c:strRef>
              <c:f>('[1]Teknoloji Gruplarına Göre'!$A$7:$F$7,'[1]Teknoloji Gruplarına Göre'!$A$12:$F$12,'[1]Teknoloji Gruplarına Göre'!$A$21:$F$21,'[1]Teknoloji Gruplarına Göre'!$A$31:$F$31)</c:f>
              <c:strCache>
                <c:ptCount val="24"/>
                <c:pt idx="0">
                  <c:v>Yüksek Teknoloji</c:v>
                </c:pt>
                <c:pt idx="6">
                  <c:v>Orta-Yüksek Teknoloji</c:v>
                </c:pt>
                <c:pt idx="12">
                  <c:v>Orta-Düşük Teknoloji</c:v>
                </c:pt>
                <c:pt idx="18">
                  <c:v>Düşük Teknoloji</c:v>
                </c:pt>
              </c:strCache>
            </c:strRef>
          </c:cat>
          <c:val>
            <c:numRef>
              <c:f>('[1]Teknoloji Gruplarına Göre'!$D$11,'[1]Teknoloji Gruplarına Göre'!$D$20,'[1]Teknoloji Gruplarına Göre'!$D$30,'[1]Teknoloji Gruplarına Göre'!$D$43)</c:f>
              <c:numCache>
                <c:formatCode>General</c:formatCode>
                <c:ptCount val="4"/>
                <c:pt idx="0">
                  <c:v>2.3074697400781212</c:v>
                </c:pt>
                <c:pt idx="1">
                  <c:v>23.413463856874188</c:v>
                </c:pt>
                <c:pt idx="2">
                  <c:v>31.572792592949799</c:v>
                </c:pt>
                <c:pt idx="3">
                  <c:v>42.706273810097898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740-47E8-B2BF-AE7A280D0A79}"/>
            </c:ext>
          </c:extLst>
        </c:ser>
        <c:ser>
          <c:idx val="1"/>
          <c:order val="2"/>
          <c:explosion val="25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34925"/>
            </c:spPr>
            <c:extLst>
              <c:ext xmlns:c16="http://schemas.microsoft.com/office/drawing/2014/chart" uri="{C3380CC4-5D6E-409C-BE32-E72D297353CC}">
                <c16:uniqueId val="{0000000F-0740-47E8-B2BF-AE7A280D0A7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0740-47E8-B2BF-AE7A280D0A79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2-0740-47E8-B2BF-AE7A280D0A7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3-0740-47E8-B2BF-AE7A280D0A7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%2,49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740-47E8-B2BF-AE7A280D0A7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%24,82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740-47E8-B2BF-AE7A280D0A7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%32,04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740-47E8-B2BF-AE7A280D0A7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%44,00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740-47E8-B2BF-AE7A280D0A79}"/>
                </c:ext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('[1]Teknoloji Gruplarına Göre'!$A$7:$F$7,'[1]Teknoloji Gruplarına Göre'!$A$12:$F$12,'[1]Teknoloji Gruplarına Göre'!$A$21:$F$21,'[1]Teknoloji Gruplarına Göre'!$A$31:$F$31)</c:f>
              <c:strCache>
                <c:ptCount val="24"/>
                <c:pt idx="0">
                  <c:v>Yüksek Teknoloji</c:v>
                </c:pt>
                <c:pt idx="6">
                  <c:v>Orta-Yüksek Teknoloji</c:v>
                </c:pt>
                <c:pt idx="12">
                  <c:v>Orta-Düşük Teknoloji</c:v>
                </c:pt>
                <c:pt idx="18">
                  <c:v>Düşük Teknoloji</c:v>
                </c:pt>
              </c:strCache>
            </c:strRef>
          </c:cat>
          <c:val>
            <c:numRef>
              <c:f>('[1]Teknoloji Gruplarına Göre'!$D$11,'[1]Teknoloji Gruplarına Göre'!$D$20,'[1]Teknoloji Gruplarına Göre'!$D$30,'[1]Teknoloji Gruplarına Göre'!$D$43)</c:f>
              <c:numCache>
                <c:formatCode>General</c:formatCode>
                <c:ptCount val="4"/>
                <c:pt idx="0">
                  <c:v>2.3074697400781212</c:v>
                </c:pt>
                <c:pt idx="1">
                  <c:v>23.413463856874188</c:v>
                </c:pt>
                <c:pt idx="2">
                  <c:v>31.572792592949799</c:v>
                </c:pt>
                <c:pt idx="3">
                  <c:v>42.706273810097898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40-47E8-B2BF-AE7A280D0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070249965932593"/>
          <c:y val="0.2556948818897638"/>
          <c:w val="0.18070267740234502"/>
          <c:h val="0.34621948818897635"/>
        </c:manualLayout>
      </c:layout>
      <c:overlay val="1"/>
      <c:txPr>
        <a:bodyPr/>
        <a:lstStyle/>
        <a:p>
          <a:pPr rtl="0">
            <a:defRPr sz="75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gradFill>
      <a:gsLst>
        <a:gs pos="100000">
          <a:schemeClr val="bg2">
            <a:lumMod val="90000"/>
          </a:schemeClr>
        </a:gs>
        <a:gs pos="0">
          <a:schemeClr val="accent1">
            <a:lumMod val="40000"/>
            <a:lumOff val="60000"/>
          </a:schemeClr>
        </a:gs>
        <a:gs pos="19000">
          <a:schemeClr val="accent3">
            <a:lumMod val="20000"/>
            <a:lumOff val="80000"/>
          </a:schemeClr>
        </a:gs>
      </a:gsLst>
      <a:lin ang="5400000" scaled="0"/>
    </a:gra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Çalışan Aralıklarına Göre Ölçeklendirilmiş Firmalarda Toplam Çalışan Dağılımı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5"/>
          <c:order val="0"/>
          <c:tx>
            <c:strRef>
              <c:f>'Genel Görünüm'!$G$8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'Genel Görünüm'!$B$9:$B$13</c:f>
              <c:strCache>
                <c:ptCount val="5"/>
                <c:pt idx="0">
                  <c:v>1-9</c:v>
                </c:pt>
                <c:pt idx="1">
                  <c:v>10-49</c:v>
                </c:pt>
                <c:pt idx="2">
                  <c:v>50-99</c:v>
                </c:pt>
                <c:pt idx="3">
                  <c:v>100-249</c:v>
                </c:pt>
                <c:pt idx="4">
                  <c:v>250+</c:v>
                </c:pt>
              </c:strCache>
            </c:strRef>
          </c:cat>
          <c:val>
            <c:numRef>
              <c:f>'Genel Görünüm'!$G$9:$G$13</c:f>
              <c:numCache>
                <c:formatCode>#,##0</c:formatCode>
                <c:ptCount val="5"/>
                <c:pt idx="0">
                  <c:v>172029</c:v>
                </c:pt>
                <c:pt idx="1">
                  <c:v>740085</c:v>
                </c:pt>
                <c:pt idx="2">
                  <c:v>450298</c:v>
                </c:pt>
                <c:pt idx="3">
                  <c:v>735832</c:v>
                </c:pt>
                <c:pt idx="4">
                  <c:v>1208242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27-4BB3-A0CD-72B20DF95A43}"/>
            </c:ext>
          </c:extLst>
        </c:ser>
        <c:ser>
          <c:idx val="6"/>
          <c:order val="1"/>
          <c:tx>
            <c:strRef>
              <c:f>'Genel Görünüm'!$F$8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'Genel Görünüm'!$B$9:$B$13</c:f>
              <c:strCache>
                <c:ptCount val="5"/>
                <c:pt idx="0">
                  <c:v>1-9</c:v>
                </c:pt>
                <c:pt idx="1">
                  <c:v>10-49</c:v>
                </c:pt>
                <c:pt idx="2">
                  <c:v>50-99</c:v>
                </c:pt>
                <c:pt idx="3">
                  <c:v>100-249</c:v>
                </c:pt>
                <c:pt idx="4">
                  <c:v>250+</c:v>
                </c:pt>
              </c:strCache>
            </c:strRef>
          </c:cat>
          <c:val>
            <c:numRef>
              <c:f>'Genel Görünüm'!$F$9:$F$13</c:f>
              <c:numCache>
                <c:formatCode>#,##0</c:formatCode>
                <c:ptCount val="5"/>
                <c:pt idx="0">
                  <c:v>163954</c:v>
                </c:pt>
                <c:pt idx="1">
                  <c:v>725147</c:v>
                </c:pt>
                <c:pt idx="2">
                  <c:v>431570</c:v>
                </c:pt>
                <c:pt idx="3">
                  <c:v>714604</c:v>
                </c:pt>
                <c:pt idx="4">
                  <c:v>1144479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27-4BB3-A0CD-72B20DF95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190608"/>
        <c:axId val="1"/>
      </c:barChart>
      <c:catAx>
        <c:axId val="233190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r-TR"/>
                  <a:t>Çalışan Aralığı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r-TR"/>
                  <a:t>Toplam Çalışan Sayısı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3190608"/>
        <c:crosses val="autoZero"/>
        <c:crossBetween val="between"/>
      </c:valAx>
      <c:spPr>
        <a:gradFill>
          <a:gsLst>
            <a:gs pos="100000">
              <a:schemeClr val="bg2">
                <a:lumMod val="90000"/>
              </a:schemeClr>
            </a:gs>
            <a:gs pos="0">
              <a:schemeClr val="accent1">
                <a:lumMod val="40000"/>
                <a:lumOff val="60000"/>
              </a:schemeClr>
            </a:gs>
            <a:gs pos="19000">
              <a:schemeClr val="accent3">
                <a:lumMod val="20000"/>
                <a:lumOff val="80000"/>
              </a:schemeClr>
            </a:gs>
          </a:gsLst>
          <a:lin ang="5400000" scaled="0"/>
        </a:gradFill>
      </c:spPr>
    </c:plotArea>
    <c:legend>
      <c:legendPos val="r"/>
      <c:overlay val="0"/>
      <c:txPr>
        <a:bodyPr/>
        <a:lstStyle/>
        <a:p>
          <a:pPr>
            <a:defRPr sz="5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gradFill>
      <a:gsLst>
        <a:gs pos="100000">
          <a:schemeClr val="bg2">
            <a:lumMod val="90000"/>
          </a:schemeClr>
        </a:gs>
        <a:gs pos="0">
          <a:schemeClr val="accent1">
            <a:lumMod val="40000"/>
            <a:lumOff val="60000"/>
          </a:schemeClr>
        </a:gs>
        <a:gs pos="19000">
          <a:schemeClr val="accent3">
            <a:lumMod val="20000"/>
            <a:lumOff val="80000"/>
          </a:schemeClr>
        </a:gs>
      </a:gsLst>
      <a:lin ang="5400000" scaled="0"/>
    </a:gra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DC67-D1CD-4660-81D3-6076E341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Links>
    <vt:vector size="6" baseType="variant">
      <vt:variant>
        <vt:i4>3997729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6</cp:revision>
  <cp:lastPrinted>2017-01-19T09:03:00Z</cp:lastPrinted>
  <dcterms:created xsi:type="dcterms:W3CDTF">2021-01-27T18:55:00Z</dcterms:created>
  <dcterms:modified xsi:type="dcterms:W3CDTF">2021-01-28T06:16:00Z</dcterms:modified>
</cp:coreProperties>
</file>