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7773"/>
      </w:tblGrid>
      <w:tr w:rsidR="0021617A" w:rsidRPr="00657647" w:rsidTr="00E75176">
        <w:trPr>
          <w:cantSplit/>
          <w:trHeight w:val="245"/>
        </w:trPr>
        <w:tc>
          <w:tcPr>
            <w:tcW w:w="1868" w:type="dxa"/>
            <w:vMerge w:val="restart"/>
          </w:tcPr>
          <w:p w:rsidR="0021617A" w:rsidRPr="00657647" w:rsidRDefault="00F57AA3" w:rsidP="0021617A">
            <w:pPr>
              <w:rPr>
                <w:rFonts w:ascii="Cambria" w:hAnsi="Cambria"/>
              </w:rPr>
            </w:pPr>
            <w:r w:rsidRPr="00657647">
              <w:rPr>
                <w:rFonts w:ascii="Cambria" w:hAnsi="Cambria"/>
              </w:rPr>
              <w:drawing>
                <wp:inline distT="0" distB="0" distL="0" distR="0" wp14:anchorId="162DBA2E" wp14:editId="734C3174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026DCA" w:rsidRPr="00657647" w:rsidRDefault="00026DCA" w:rsidP="003D5004">
            <w:pPr>
              <w:jc w:val="right"/>
              <w:rPr>
                <w:rFonts w:ascii="Cambria" w:hAnsi="Cambria" w:cs="Arial"/>
                <w:szCs w:val="20"/>
              </w:rPr>
            </w:pPr>
            <w:r w:rsidRPr="00657647">
              <w:rPr>
                <w:rFonts w:ascii="Cambria" w:hAnsi="Cambria" w:cs="Arial"/>
                <w:szCs w:val="20"/>
              </w:rPr>
              <w:t>Sayfa 1/</w:t>
            </w:r>
            <w:r w:rsidR="0000088B" w:rsidRPr="00657647">
              <w:rPr>
                <w:rFonts w:ascii="Cambria" w:hAnsi="Cambria" w:cs="Arial"/>
                <w:szCs w:val="20"/>
              </w:rPr>
              <w:t>1</w:t>
            </w:r>
          </w:p>
        </w:tc>
      </w:tr>
      <w:tr w:rsidR="0021617A" w:rsidRPr="00657647" w:rsidTr="00E75176">
        <w:trPr>
          <w:cantSplit/>
          <w:trHeight w:val="479"/>
        </w:trPr>
        <w:tc>
          <w:tcPr>
            <w:tcW w:w="0" w:type="auto"/>
            <w:vMerge/>
            <w:vAlign w:val="center"/>
          </w:tcPr>
          <w:p w:rsidR="0021617A" w:rsidRPr="00657647" w:rsidRDefault="0021617A" w:rsidP="0021617A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C821BA" w:rsidRPr="00657647" w:rsidRDefault="00C821BA" w:rsidP="00CA2914">
            <w:pPr>
              <w:pStyle w:val="Balk1"/>
              <w:jc w:val="left"/>
              <w:rPr>
                <w:rFonts w:ascii="Cambria" w:hAnsi="Cambria"/>
                <w:b w:val="0"/>
                <w:sz w:val="24"/>
              </w:rPr>
            </w:pPr>
            <w:r w:rsidRPr="00657647">
              <w:rPr>
                <w:rFonts w:ascii="Cambria" w:hAnsi="Cambria"/>
                <w:sz w:val="24"/>
              </w:rPr>
              <w:t>TÜRK STANDARDI</w:t>
            </w:r>
          </w:p>
          <w:p w:rsidR="00C821BA" w:rsidRPr="00657647" w:rsidRDefault="00C821BA" w:rsidP="0021617A">
            <w:pPr>
              <w:rPr>
                <w:rFonts w:ascii="Cambria" w:hAnsi="Cambria"/>
                <w:i/>
                <w:iCs/>
              </w:rPr>
            </w:pPr>
            <w:r w:rsidRPr="00657647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21617A" w:rsidRPr="00657647" w:rsidTr="00E75176">
        <w:trPr>
          <w:cantSplit/>
          <w:trHeight w:val="242"/>
        </w:trPr>
        <w:tc>
          <w:tcPr>
            <w:tcW w:w="0" w:type="auto"/>
            <w:vMerge/>
            <w:vAlign w:val="center"/>
          </w:tcPr>
          <w:p w:rsidR="0021617A" w:rsidRPr="00657647" w:rsidRDefault="0021617A" w:rsidP="0021617A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21617A" w:rsidRPr="00657647" w:rsidRDefault="0021617A" w:rsidP="0021617A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57AA3" w:rsidRPr="00657647" w:rsidRDefault="00F57AA3">
      <w:pPr>
        <w:rPr>
          <w:rFonts w:ascii="Cambria" w:hAnsi="Cambria"/>
        </w:rPr>
      </w:pPr>
    </w:p>
    <w:p w:rsidR="004864FC" w:rsidRPr="00657647" w:rsidRDefault="004864FC">
      <w:pPr>
        <w:rPr>
          <w:rFonts w:ascii="Cambria" w:hAnsi="Cambria"/>
        </w:rPr>
      </w:pPr>
    </w:p>
    <w:tbl>
      <w:tblPr>
        <w:tblW w:w="0" w:type="auto"/>
        <w:tblInd w:w="5688" w:type="dxa"/>
        <w:tblLook w:val="0000" w:firstRow="0" w:lastRow="0" w:firstColumn="0" w:lastColumn="0" w:noHBand="0" w:noVBand="0"/>
      </w:tblPr>
      <w:tblGrid>
        <w:gridCol w:w="3953"/>
      </w:tblGrid>
      <w:tr w:rsidR="0021617A" w:rsidRPr="00657647" w:rsidTr="00F57AA3">
        <w:trPr>
          <w:trHeight w:val="281"/>
        </w:trPr>
        <w:tc>
          <w:tcPr>
            <w:tcW w:w="4020" w:type="dxa"/>
          </w:tcPr>
          <w:p w:rsidR="0021617A" w:rsidRPr="00657647" w:rsidRDefault="006542FC" w:rsidP="00073BB4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iCs w:val="0"/>
                <w:sz w:val="32"/>
                <w:szCs w:val="32"/>
                <w:lang w:val="tr-TR"/>
              </w:rPr>
            </w:pPr>
            <w:r w:rsidRPr="00657647">
              <w:rPr>
                <w:rFonts w:ascii="Cambria" w:hAnsi="Cambria" w:cs="Arial"/>
                <w:i w:val="0"/>
                <w:iCs w:val="0"/>
                <w:sz w:val="32"/>
                <w:szCs w:val="32"/>
              </w:rPr>
              <w:t xml:space="preserve">TS </w:t>
            </w:r>
            <w:r w:rsidR="00073BB4" w:rsidRPr="00657647">
              <w:rPr>
                <w:rFonts w:ascii="Cambria" w:hAnsi="Cambria" w:cs="Arial"/>
                <w:i w:val="0"/>
                <w:iCs w:val="0"/>
                <w:sz w:val="32"/>
                <w:szCs w:val="32"/>
              </w:rPr>
              <w:t>3958</w:t>
            </w:r>
            <w:r w:rsidR="005B3047" w:rsidRPr="00657647">
              <w:rPr>
                <w:rFonts w:ascii="Cambria" w:hAnsi="Cambria" w:cs="Arial"/>
                <w:i w:val="0"/>
                <w:iCs w:val="0"/>
                <w:sz w:val="32"/>
                <w:szCs w:val="32"/>
                <w:lang w:val="tr-TR"/>
              </w:rPr>
              <w:t>:</w:t>
            </w:r>
            <w:r w:rsidR="00657647">
              <w:rPr>
                <w:rFonts w:ascii="Cambria" w:hAnsi="Cambria" w:cs="Arial"/>
                <w:i w:val="0"/>
                <w:iCs w:val="0"/>
                <w:sz w:val="32"/>
                <w:szCs w:val="32"/>
                <w:lang w:val="tr-TR"/>
              </w:rPr>
              <w:t xml:space="preserve"> </w:t>
            </w:r>
            <w:r w:rsidR="006F5FE6" w:rsidRPr="00657647">
              <w:rPr>
                <w:rFonts w:ascii="Cambria" w:hAnsi="Cambria" w:cs="Arial"/>
                <w:i w:val="0"/>
                <w:iCs w:val="0"/>
                <w:sz w:val="32"/>
                <w:szCs w:val="32"/>
                <w:lang w:val="tr-TR"/>
              </w:rPr>
              <w:t>20</w:t>
            </w:r>
            <w:r w:rsidR="00AB72E3" w:rsidRPr="00657647">
              <w:rPr>
                <w:rFonts w:ascii="Cambria" w:hAnsi="Cambria" w:cs="Arial"/>
                <w:i w:val="0"/>
                <w:iCs w:val="0"/>
                <w:sz w:val="32"/>
                <w:szCs w:val="32"/>
                <w:lang w:val="tr-TR"/>
              </w:rPr>
              <w:t>10</w:t>
            </w:r>
          </w:p>
        </w:tc>
      </w:tr>
      <w:tr w:rsidR="0021617A" w:rsidRPr="00657647" w:rsidTr="00F57AA3">
        <w:trPr>
          <w:trHeight w:val="281"/>
        </w:trPr>
        <w:tc>
          <w:tcPr>
            <w:tcW w:w="4020" w:type="dxa"/>
          </w:tcPr>
          <w:p w:rsidR="0021617A" w:rsidRPr="00657647" w:rsidRDefault="00657647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  <w:lang w:val="tr-TR"/>
              </w:rPr>
            </w:pPr>
            <w:r>
              <w:rPr>
                <w:rFonts w:ascii="Cambria" w:hAnsi="Cambria" w:cs="Arial"/>
                <w:sz w:val="32"/>
                <w:szCs w:val="32"/>
                <w:lang w:val="tr-TR"/>
              </w:rPr>
              <w:t>t</w:t>
            </w:r>
            <w:r w:rsidR="004A53D8" w:rsidRPr="00657647">
              <w:rPr>
                <w:rFonts w:ascii="Cambria" w:hAnsi="Cambria" w:cs="Arial"/>
                <w:sz w:val="32"/>
                <w:szCs w:val="32"/>
                <w:lang w:val="tr-TR"/>
              </w:rPr>
              <w:t xml:space="preserve">st </w:t>
            </w:r>
            <w:r w:rsidR="000C0D54" w:rsidRPr="00657647">
              <w:rPr>
                <w:rFonts w:ascii="Cambria" w:hAnsi="Cambria" w:cs="Arial"/>
                <w:sz w:val="32"/>
                <w:szCs w:val="32"/>
                <w:lang w:val="tr-TR"/>
              </w:rPr>
              <w:t>T</w:t>
            </w:r>
            <w:r w:rsidR="004A53D8" w:rsidRPr="00657647">
              <w:rPr>
                <w:rFonts w:ascii="Cambria" w:hAnsi="Cambria" w:cs="Arial"/>
                <w:sz w:val="32"/>
                <w:szCs w:val="32"/>
                <w:lang w:val="tr-TR"/>
              </w:rPr>
              <w:t>3</w:t>
            </w:r>
            <w:r>
              <w:rPr>
                <w:rFonts w:ascii="Cambria" w:hAnsi="Cambria" w:cs="Arial"/>
                <w:sz w:val="32"/>
                <w:szCs w:val="32"/>
                <w:lang w:val="tr-TR"/>
              </w:rPr>
              <w:t>:</w:t>
            </w:r>
          </w:p>
        </w:tc>
      </w:tr>
    </w:tbl>
    <w:p w:rsidR="0021617A" w:rsidRPr="00657647" w:rsidRDefault="0021617A" w:rsidP="0021617A">
      <w:pPr>
        <w:pStyle w:val="GvdeMetni"/>
        <w:pBdr>
          <w:bottom w:val="single" w:sz="4" w:space="1" w:color="auto"/>
        </w:pBdr>
        <w:spacing w:after="0"/>
        <w:rPr>
          <w:rFonts w:ascii="Cambria" w:hAnsi="Cambria"/>
          <w:sz w:val="12"/>
          <w:szCs w:val="12"/>
        </w:rPr>
      </w:pPr>
    </w:p>
    <w:p w:rsidR="004864FC" w:rsidRPr="00657647" w:rsidRDefault="004864FC" w:rsidP="0021617A">
      <w:pPr>
        <w:pStyle w:val="GvdeMetni"/>
        <w:pBdr>
          <w:bottom w:val="single" w:sz="4" w:space="1" w:color="auto"/>
        </w:pBdr>
        <w:spacing w:after="0"/>
        <w:rPr>
          <w:rFonts w:ascii="Cambria" w:hAnsi="Cambria"/>
          <w:sz w:val="12"/>
          <w:szCs w:val="12"/>
        </w:rPr>
      </w:pPr>
    </w:p>
    <w:p w:rsidR="0021617A" w:rsidRPr="00657647" w:rsidRDefault="0021617A" w:rsidP="0021617A">
      <w:pPr>
        <w:pStyle w:val="GvdeMetni"/>
        <w:pBdr>
          <w:bottom w:val="single" w:sz="4" w:space="1" w:color="auto"/>
        </w:pBdr>
        <w:rPr>
          <w:rFonts w:ascii="Cambria" w:hAnsi="Cambria" w:cs="Arial"/>
          <w:b/>
          <w:sz w:val="24"/>
        </w:rPr>
      </w:pPr>
      <w:r w:rsidRPr="00657647">
        <w:rPr>
          <w:rFonts w:ascii="Cambria" w:hAnsi="Cambria" w:cs="Arial"/>
          <w:b/>
          <w:sz w:val="24"/>
        </w:rPr>
        <w:t>ICS</w:t>
      </w:r>
      <w:r w:rsidRPr="00657647">
        <w:rPr>
          <w:rFonts w:ascii="Cambria" w:hAnsi="Cambria" w:cs="Arial"/>
          <w:sz w:val="24"/>
        </w:rPr>
        <w:t xml:space="preserve"> </w:t>
      </w:r>
      <w:r w:rsidR="00A81DF6" w:rsidRPr="00657647">
        <w:rPr>
          <w:rFonts w:ascii="Cambria" w:hAnsi="Cambria" w:cs="Arial"/>
          <w:sz w:val="24"/>
        </w:rPr>
        <w:t>67</w:t>
      </w:r>
      <w:r w:rsidRPr="00657647">
        <w:rPr>
          <w:rFonts w:ascii="Cambria" w:hAnsi="Cambria" w:cs="Arial"/>
          <w:sz w:val="24"/>
        </w:rPr>
        <w:t>.</w:t>
      </w:r>
      <w:r w:rsidR="0054063F" w:rsidRPr="00657647">
        <w:rPr>
          <w:rFonts w:ascii="Cambria" w:hAnsi="Cambria" w:cs="Arial"/>
          <w:sz w:val="24"/>
        </w:rPr>
        <w:t>0</w:t>
      </w:r>
      <w:r w:rsidR="00184B5B" w:rsidRPr="00657647">
        <w:rPr>
          <w:rFonts w:ascii="Cambria" w:hAnsi="Cambria" w:cs="Arial"/>
          <w:sz w:val="24"/>
        </w:rPr>
        <w:t>8</w:t>
      </w:r>
      <w:r w:rsidR="0054063F" w:rsidRPr="00657647">
        <w:rPr>
          <w:rFonts w:ascii="Cambria" w:hAnsi="Cambria" w:cs="Arial"/>
          <w:sz w:val="24"/>
        </w:rPr>
        <w:t>0</w:t>
      </w:r>
      <w:r w:rsidR="00184B5B" w:rsidRPr="00657647">
        <w:rPr>
          <w:rFonts w:ascii="Cambria" w:hAnsi="Cambria" w:cs="Arial"/>
          <w:sz w:val="24"/>
        </w:rPr>
        <w:t>.</w:t>
      </w:r>
      <w:bookmarkStart w:id="0" w:name="_GoBack"/>
      <w:bookmarkEnd w:id="0"/>
      <w:r w:rsidR="00184B5B" w:rsidRPr="00657647">
        <w:rPr>
          <w:rFonts w:ascii="Cambria" w:hAnsi="Cambria" w:cs="Arial"/>
          <w:sz w:val="24"/>
        </w:rPr>
        <w:t>10</w:t>
      </w:r>
    </w:p>
    <w:p w:rsidR="0021617A" w:rsidRPr="00657647" w:rsidRDefault="0021617A" w:rsidP="0021617A">
      <w:pPr>
        <w:rPr>
          <w:rFonts w:ascii="Cambria" w:hAnsi="Cambria" w:cs="Arial"/>
          <w:b/>
          <w:sz w:val="16"/>
          <w:szCs w:val="16"/>
        </w:rPr>
      </w:pPr>
    </w:p>
    <w:p w:rsidR="00026DCA" w:rsidRPr="00657647" w:rsidRDefault="00026DCA" w:rsidP="00026DCA">
      <w:pPr>
        <w:rPr>
          <w:rFonts w:ascii="Cambria" w:eastAsia="Calibri" w:hAnsi="Cambria" w:cs="Arial"/>
          <w:noProof w:val="0"/>
          <w:sz w:val="22"/>
          <w:szCs w:val="22"/>
          <w:lang w:eastAsia="en-US"/>
        </w:rPr>
      </w:pPr>
      <w:r w:rsidRPr="00657647">
        <w:rPr>
          <w:rFonts w:ascii="Cambria" w:eastAsia="Calibri" w:hAnsi="Cambria" w:cs="Arial"/>
          <w:noProof w:val="0"/>
          <w:sz w:val="22"/>
          <w:szCs w:val="22"/>
          <w:lang w:eastAsia="en-US"/>
        </w:rPr>
        <w:t>Bu tadil, TSE Gıda</w:t>
      </w:r>
      <w:r w:rsidR="0056086E" w:rsidRPr="00657647">
        <w:rPr>
          <w:rFonts w:ascii="Cambria" w:eastAsia="Calibri" w:hAnsi="Cambria" w:cs="Arial"/>
          <w:noProof w:val="0"/>
          <w:sz w:val="22"/>
          <w:szCs w:val="22"/>
          <w:lang w:eastAsia="en-US"/>
        </w:rPr>
        <w:t>,</w:t>
      </w:r>
      <w:r w:rsidRPr="00657647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Tarım ve Hayvancılık İhtisas Kurulu’na bağlı </w:t>
      </w:r>
      <w:r w:rsidR="00A9196C" w:rsidRPr="00657647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TK15 </w:t>
      </w:r>
      <w:r w:rsidR="0056086E" w:rsidRPr="00657647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Gıda ve </w:t>
      </w:r>
      <w:proofErr w:type="gramStart"/>
      <w:r w:rsidR="0056086E" w:rsidRPr="00657647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Ziraat </w:t>
      </w:r>
      <w:r w:rsidRPr="00657647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Komitesi’nce</w:t>
      </w:r>
      <w:proofErr w:type="gramEnd"/>
      <w:r w:rsidRPr="00657647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hazırlanmış ve TSE Teknik Kurulu’nun</w:t>
      </w:r>
      <w:r w:rsidR="000932C0" w:rsidRPr="00657647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r w:rsidR="00A9196C" w:rsidRPr="00657647">
        <w:rPr>
          <w:rFonts w:ascii="Cambria" w:hAnsi="Cambria"/>
          <w:sz w:val="22"/>
          <w:szCs w:val="22"/>
        </w:rPr>
        <w:t>………………</w:t>
      </w:r>
      <w:r w:rsidR="00EC6BE2" w:rsidRPr="00657647">
        <w:rPr>
          <w:rFonts w:ascii="Cambria" w:hAnsi="Cambria"/>
          <w:sz w:val="22"/>
          <w:szCs w:val="22"/>
        </w:rPr>
        <w:t xml:space="preserve"> </w:t>
      </w:r>
      <w:r w:rsidRPr="00657647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 toplantısında kabul edilerek yayımına karar verilmiştir.</w:t>
      </w:r>
    </w:p>
    <w:p w:rsidR="009B6C9E" w:rsidRPr="00657647" w:rsidRDefault="009B6C9E" w:rsidP="009B6C9E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1"/>
      </w:tblGrid>
      <w:tr w:rsidR="00A74402" w:rsidRPr="00657647" w:rsidTr="0076195F">
        <w:trPr>
          <w:trHeight w:val="471"/>
        </w:trPr>
        <w:tc>
          <w:tcPr>
            <w:tcW w:w="9854" w:type="dxa"/>
            <w:hideMark/>
          </w:tcPr>
          <w:p w:rsidR="00DD50D1" w:rsidRPr="00657647" w:rsidRDefault="00DD50D1" w:rsidP="00DD50D1">
            <w:pPr>
              <w:rPr>
                <w:rFonts w:ascii="Cambria" w:hAnsi="Cambria"/>
              </w:rPr>
            </w:pPr>
          </w:p>
          <w:p w:rsidR="00A74402" w:rsidRDefault="00A74402" w:rsidP="0076195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57647">
              <w:rPr>
                <w:rFonts w:ascii="Cambria" w:hAnsi="Cambria" w:cs="Arial"/>
                <w:b/>
                <w:bCs/>
                <w:sz w:val="28"/>
                <w:szCs w:val="28"/>
              </w:rPr>
              <w:t>Vişne reçeli</w:t>
            </w:r>
          </w:p>
          <w:p w:rsidR="00657647" w:rsidRPr="00657647" w:rsidRDefault="00657647" w:rsidP="0076195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:rsidR="00373045" w:rsidRPr="00657647" w:rsidRDefault="00373045" w:rsidP="0076195F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A74402" w:rsidRPr="00657647" w:rsidTr="0076195F">
        <w:tc>
          <w:tcPr>
            <w:tcW w:w="9854" w:type="dxa"/>
            <w:hideMark/>
          </w:tcPr>
          <w:p w:rsidR="00A74402" w:rsidRPr="00657647" w:rsidRDefault="00A74402" w:rsidP="0076195F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657647">
              <w:rPr>
                <w:rFonts w:ascii="Cambria" w:hAnsi="Cambria" w:cs="Arial"/>
                <w:sz w:val="28"/>
                <w:szCs w:val="28"/>
              </w:rPr>
              <w:t>Sour cherry jam</w:t>
            </w:r>
          </w:p>
        </w:tc>
      </w:tr>
    </w:tbl>
    <w:p w:rsidR="00E26AA8" w:rsidRPr="00657647" w:rsidRDefault="00E26AA8" w:rsidP="0021617A">
      <w:pPr>
        <w:rPr>
          <w:rFonts w:ascii="Cambria" w:hAnsi="Cambria" w:cs="Arial"/>
          <w:sz w:val="16"/>
          <w:szCs w:val="16"/>
        </w:rPr>
      </w:pPr>
    </w:p>
    <w:p w:rsidR="00A74402" w:rsidRDefault="00A74402" w:rsidP="00A74402">
      <w:pPr>
        <w:contextualSpacing/>
        <w:rPr>
          <w:rFonts w:ascii="Cambria" w:hAnsi="Cambria" w:cs="Arial"/>
          <w:b/>
          <w:szCs w:val="20"/>
        </w:rPr>
      </w:pPr>
    </w:p>
    <w:p w:rsidR="00657647" w:rsidRDefault="00657647" w:rsidP="00A74402">
      <w:pPr>
        <w:contextualSpacing/>
        <w:rPr>
          <w:rFonts w:ascii="Cambria" w:hAnsi="Cambria" w:cs="Arial"/>
          <w:b/>
          <w:szCs w:val="20"/>
        </w:rPr>
      </w:pPr>
    </w:p>
    <w:p w:rsidR="00657647" w:rsidRPr="00657647" w:rsidRDefault="00657647" w:rsidP="00A74402">
      <w:pPr>
        <w:contextualSpacing/>
        <w:rPr>
          <w:rFonts w:ascii="Cambria" w:hAnsi="Cambria" w:cs="Arial"/>
          <w:b/>
          <w:szCs w:val="20"/>
        </w:rPr>
      </w:pPr>
    </w:p>
    <w:p w:rsidR="00373045" w:rsidRPr="00657647" w:rsidRDefault="00A9196C" w:rsidP="00766CBF">
      <w:pPr>
        <w:jc w:val="left"/>
        <w:rPr>
          <w:rFonts w:ascii="Cambria" w:hAnsi="Cambria" w:cs="Arial"/>
          <w:sz w:val="22"/>
          <w:szCs w:val="22"/>
        </w:rPr>
      </w:pPr>
      <w:r w:rsidRPr="00657647">
        <w:rPr>
          <w:rFonts w:ascii="Cambria" w:hAnsi="Cambria" w:cs="Arial"/>
          <w:sz w:val="22"/>
          <w:szCs w:val="22"/>
        </w:rPr>
        <w:t>- Madde 5.3.1 aşağıdaki biçimde değiştirilmiştir</w:t>
      </w:r>
    </w:p>
    <w:p w:rsidR="00A9196C" w:rsidRPr="00657647" w:rsidRDefault="00A9196C" w:rsidP="00766CBF">
      <w:pPr>
        <w:jc w:val="left"/>
        <w:rPr>
          <w:rFonts w:ascii="Cambria" w:hAnsi="Cambria" w:cs="Arial"/>
          <w:sz w:val="22"/>
          <w:szCs w:val="22"/>
        </w:rPr>
      </w:pPr>
    </w:p>
    <w:p w:rsidR="00A9196C" w:rsidRPr="00657647" w:rsidRDefault="00A9196C" w:rsidP="00A9196C">
      <w:pPr>
        <w:pStyle w:val="Balk3"/>
        <w:tabs>
          <w:tab w:val="left" w:pos="709"/>
        </w:tabs>
        <w:rPr>
          <w:rFonts w:ascii="Cambria" w:hAnsi="Cambria"/>
        </w:rPr>
      </w:pPr>
      <w:bookmarkStart w:id="1" w:name="_Toc231472559"/>
      <w:bookmarkStart w:id="2" w:name="_Toc231473087"/>
      <w:r w:rsidRPr="00657647">
        <w:rPr>
          <w:rFonts w:ascii="Cambria" w:hAnsi="Cambria"/>
        </w:rPr>
        <w:t xml:space="preserve">5.3.1  </w:t>
      </w:r>
      <w:r w:rsidRPr="00657647">
        <w:rPr>
          <w:rFonts w:ascii="Cambria" w:hAnsi="Cambria"/>
        </w:rPr>
        <w:tab/>
        <w:t>Meyve oranı tayini</w:t>
      </w:r>
      <w:bookmarkEnd w:id="1"/>
      <w:bookmarkEnd w:id="2"/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  <w:r w:rsidRPr="00657647">
        <w:rPr>
          <w:rFonts w:ascii="Cambria" w:hAnsi="Cambria"/>
          <w:sz w:val="22"/>
          <w:szCs w:val="22"/>
        </w:rPr>
        <w:t>Meyve oranı tayini için, net kütlesi oda sıcaklığında 500 g'a kadar olan reçel numunelerinden muhtevanın tamamı, 500 g'dan fazla olan numunelerden ise iyice karıştırıldıktan sonra 500 g alınır ve 1 L’lik behere aktarılır, üzerine reçel ağırlığı kadar damıtık su konularak meyve, pulp, püre parçaları zedelenmemek için çok hassas karıştırılır</w:t>
      </w:r>
      <w:r w:rsidR="00565D5D" w:rsidRPr="00657647">
        <w:rPr>
          <w:rFonts w:ascii="Cambria" w:hAnsi="Cambria"/>
          <w:sz w:val="22"/>
          <w:szCs w:val="22"/>
        </w:rPr>
        <w:t>. Reçel numunesinin ve seyreltme suyunun sıcaklıkları 20-25</w:t>
      </w:r>
      <w:r w:rsidR="00565D5D" w:rsidRPr="00657647">
        <w:rPr>
          <w:rFonts w:ascii="Cambria" w:hAnsi="Cambria" w:cs="Arial"/>
          <w:sz w:val="22"/>
          <w:szCs w:val="22"/>
        </w:rPr>
        <w:t>°</w:t>
      </w:r>
      <w:r w:rsidR="00565D5D" w:rsidRPr="00657647">
        <w:rPr>
          <w:rFonts w:ascii="Cambria" w:hAnsi="Cambria"/>
          <w:sz w:val="22"/>
          <w:szCs w:val="22"/>
        </w:rPr>
        <w:t xml:space="preserve">C’ ta ve </w:t>
      </w:r>
      <w:r w:rsidR="000B596D" w:rsidRPr="00657647">
        <w:rPr>
          <w:rFonts w:ascii="Cambria" w:hAnsi="Cambria"/>
          <w:sz w:val="22"/>
          <w:szCs w:val="22"/>
        </w:rPr>
        <w:t>aralarındaki sıcaklık farkı en fazla 1</w:t>
      </w:r>
      <w:r w:rsidR="000B596D" w:rsidRPr="00657647">
        <w:rPr>
          <w:rFonts w:ascii="Cambria" w:hAnsi="Cambria" w:cs="Arial"/>
          <w:sz w:val="22"/>
          <w:szCs w:val="22"/>
        </w:rPr>
        <w:t>°</w:t>
      </w:r>
      <w:r w:rsidR="000B596D" w:rsidRPr="00657647">
        <w:rPr>
          <w:rFonts w:ascii="Cambria" w:hAnsi="Cambria"/>
          <w:sz w:val="22"/>
          <w:szCs w:val="22"/>
        </w:rPr>
        <w:t>C olmalıdır</w:t>
      </w:r>
      <w:r w:rsidR="00565D5D" w:rsidRPr="00657647">
        <w:rPr>
          <w:rFonts w:ascii="Cambria" w:hAnsi="Cambria"/>
          <w:sz w:val="22"/>
          <w:szCs w:val="22"/>
        </w:rPr>
        <w:t xml:space="preserve">. </w:t>
      </w:r>
      <w:r w:rsidRPr="00657647">
        <w:rPr>
          <w:rFonts w:ascii="Cambria" w:hAnsi="Cambria"/>
          <w:sz w:val="22"/>
          <w:szCs w:val="22"/>
        </w:rPr>
        <w:t xml:space="preserve">5 min </w:t>
      </w:r>
      <w:r w:rsidR="00565D5D" w:rsidRPr="00657647">
        <w:rPr>
          <w:rFonts w:ascii="Cambria" w:hAnsi="Cambria"/>
          <w:sz w:val="22"/>
          <w:szCs w:val="22"/>
        </w:rPr>
        <w:t xml:space="preserve">karıştırma yapmadan </w:t>
      </w:r>
      <w:r w:rsidR="00F50D89" w:rsidRPr="00657647">
        <w:rPr>
          <w:rFonts w:ascii="Cambria" w:hAnsi="Cambria"/>
          <w:sz w:val="22"/>
          <w:szCs w:val="22"/>
        </w:rPr>
        <w:t>dinlendirilen numuneler süzülür. G</w:t>
      </w:r>
      <w:r w:rsidRPr="00657647">
        <w:rPr>
          <w:rFonts w:ascii="Cambria" w:hAnsi="Cambria"/>
          <w:sz w:val="22"/>
          <w:szCs w:val="22"/>
        </w:rPr>
        <w:t xml:space="preserve">eleneksel ve ekstra geleneksel reçeller göz açıklığı 1,0 mm olan elekten  </w:t>
      </w:r>
      <w:r w:rsidRPr="00657647">
        <w:rPr>
          <w:rFonts w:ascii="Cambria" w:hAnsi="Cambria" w:cs="Arial"/>
          <w:sz w:val="22"/>
          <w:szCs w:val="22"/>
        </w:rPr>
        <w:t>(</w:t>
      </w:r>
      <w:r w:rsidRPr="00657647">
        <w:rPr>
          <w:rFonts w:ascii="Cambria" w:hAnsi="Cambria" w:cs="Arial"/>
          <w:bCs/>
          <w:sz w:val="22"/>
          <w:szCs w:val="22"/>
        </w:rPr>
        <w:t>TS ISO 3310-1</w:t>
      </w:r>
      <w:r w:rsidRPr="00657647">
        <w:rPr>
          <w:rFonts w:ascii="Cambria" w:hAnsi="Cambria" w:cs="Arial"/>
          <w:sz w:val="22"/>
          <w:szCs w:val="22"/>
        </w:rPr>
        <w:t xml:space="preserve">) </w:t>
      </w:r>
      <w:r w:rsidRPr="00657647">
        <w:rPr>
          <w:rFonts w:ascii="Cambria" w:hAnsi="Cambria"/>
          <w:sz w:val="22"/>
          <w:szCs w:val="22"/>
        </w:rPr>
        <w:t xml:space="preserve">5 min, reçel ve ekstra reçeller ise 0,5 mm olan elekten </w:t>
      </w:r>
      <w:r w:rsidRPr="00657647">
        <w:rPr>
          <w:rFonts w:ascii="Cambria" w:hAnsi="Cambria" w:cs="Arial"/>
          <w:sz w:val="22"/>
          <w:szCs w:val="22"/>
        </w:rPr>
        <w:t>(</w:t>
      </w:r>
      <w:r w:rsidRPr="00657647">
        <w:rPr>
          <w:rFonts w:ascii="Cambria" w:hAnsi="Cambria" w:cs="Arial"/>
          <w:bCs/>
          <w:sz w:val="22"/>
          <w:szCs w:val="22"/>
        </w:rPr>
        <w:t>TS ISO 3310-1</w:t>
      </w:r>
      <w:r w:rsidRPr="00657647">
        <w:rPr>
          <w:rFonts w:ascii="Cambria" w:hAnsi="Cambria" w:cs="Arial"/>
          <w:sz w:val="22"/>
          <w:szCs w:val="22"/>
        </w:rPr>
        <w:t xml:space="preserve">) </w:t>
      </w:r>
      <w:r w:rsidRPr="00657647">
        <w:rPr>
          <w:rFonts w:ascii="Cambria" w:hAnsi="Cambria"/>
          <w:sz w:val="22"/>
          <w:szCs w:val="22"/>
        </w:rPr>
        <w:t>15 min süzülür</w:t>
      </w:r>
      <w:r w:rsidR="00565D5D" w:rsidRPr="00657647">
        <w:rPr>
          <w:rFonts w:ascii="Cambria" w:hAnsi="Cambria"/>
          <w:sz w:val="22"/>
          <w:szCs w:val="22"/>
        </w:rPr>
        <w:t xml:space="preserve">. </w:t>
      </w:r>
      <w:r w:rsidR="00F50D89" w:rsidRPr="00657647">
        <w:rPr>
          <w:rFonts w:ascii="Cambria" w:hAnsi="Cambria"/>
          <w:sz w:val="22"/>
          <w:szCs w:val="22"/>
        </w:rPr>
        <w:t xml:space="preserve">Süzme işlemi sırasında yapışan veya üstüste olan mevye parçaları numuneyi zedelemeden bir spatula yardımıyla düzeltilir ve suyun rahat bir biçimde süzülmesi sağlanır. </w:t>
      </w:r>
      <w:r w:rsidR="007026F4" w:rsidRPr="00657647">
        <w:rPr>
          <w:rFonts w:ascii="Cambria" w:hAnsi="Cambria"/>
          <w:sz w:val="22"/>
          <w:szCs w:val="22"/>
        </w:rPr>
        <w:t>Süzme işlemi sonunda e</w:t>
      </w:r>
      <w:r w:rsidR="00565D5D" w:rsidRPr="00657647">
        <w:rPr>
          <w:rFonts w:ascii="Cambria" w:hAnsi="Cambria"/>
          <w:sz w:val="22"/>
          <w:szCs w:val="22"/>
        </w:rPr>
        <w:t xml:space="preserve">lek altında </w:t>
      </w:r>
      <w:r w:rsidR="00617406" w:rsidRPr="00657647">
        <w:rPr>
          <w:rFonts w:ascii="Cambria" w:hAnsi="Cambria"/>
          <w:sz w:val="22"/>
          <w:szCs w:val="22"/>
        </w:rPr>
        <w:t xml:space="preserve">kalan </w:t>
      </w:r>
      <w:r w:rsidR="00F50D89" w:rsidRPr="00657647">
        <w:rPr>
          <w:rFonts w:ascii="Cambria" w:hAnsi="Cambria"/>
          <w:sz w:val="22"/>
          <w:szCs w:val="22"/>
        </w:rPr>
        <w:t xml:space="preserve">reçel ve </w:t>
      </w:r>
      <w:r w:rsidR="00565D5D" w:rsidRPr="00657647">
        <w:rPr>
          <w:rFonts w:ascii="Cambria" w:hAnsi="Cambria"/>
          <w:sz w:val="22"/>
          <w:szCs w:val="22"/>
        </w:rPr>
        <w:t xml:space="preserve">su </w:t>
      </w:r>
      <w:r w:rsidR="00F50D89" w:rsidRPr="00657647">
        <w:rPr>
          <w:rFonts w:ascii="Cambria" w:hAnsi="Cambria"/>
          <w:sz w:val="22"/>
          <w:szCs w:val="22"/>
        </w:rPr>
        <w:t xml:space="preserve">karışımı </w:t>
      </w:r>
      <w:r w:rsidR="00565D5D" w:rsidRPr="00657647">
        <w:rPr>
          <w:rFonts w:ascii="Cambria" w:hAnsi="Cambria"/>
          <w:sz w:val="22"/>
          <w:szCs w:val="22"/>
        </w:rPr>
        <w:t>uygun bir bez veya kağıt havlu yardımıyla silinir. E</w:t>
      </w:r>
      <w:r w:rsidRPr="00657647">
        <w:rPr>
          <w:rFonts w:ascii="Cambria" w:hAnsi="Cambria"/>
          <w:sz w:val="22"/>
          <w:szCs w:val="22"/>
        </w:rPr>
        <w:t>lek üzerindeki meyve miktarı tartılarak bulunur ve reçeldeki meyve oranı aşağıdaki formül yardımı ile hesaplanır:</w:t>
      </w:r>
    </w:p>
    <w:p w:rsidR="00A9196C" w:rsidRPr="00657647" w:rsidRDefault="004F56E2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  <w:r w:rsidRPr="00657647">
        <w:rPr>
          <w:rFonts w:ascii="Cambria" w:hAnsi="Cambria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.2pt;margin-top:11.75pt;width:60.75pt;height:35.25pt;z-index:251658240">
            <v:imagedata r:id="rId9" o:title=""/>
            <w10:wrap type="square"/>
          </v:shape>
          <o:OLEObject Type="Embed" ProgID="Equation.3" ShapeID="_x0000_s1026" DrawAspect="Content" ObjectID="_1668859604" r:id="rId10"/>
        </w:object>
      </w:r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  <w:r w:rsidRPr="00657647">
        <w:rPr>
          <w:rFonts w:ascii="Cambria" w:hAnsi="Cambria"/>
          <w:sz w:val="22"/>
          <w:szCs w:val="22"/>
        </w:rPr>
        <w:t>Meyve oranı (%) =</w:t>
      </w:r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  <w:r w:rsidRPr="00657647">
        <w:rPr>
          <w:rFonts w:ascii="Cambria" w:hAnsi="Cambria"/>
          <w:sz w:val="22"/>
          <w:szCs w:val="22"/>
        </w:rPr>
        <w:t>Burada;</w:t>
      </w:r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  <w:r w:rsidRPr="00657647">
        <w:rPr>
          <w:rFonts w:ascii="Cambria" w:hAnsi="Cambria"/>
          <w:sz w:val="22"/>
          <w:szCs w:val="22"/>
        </w:rPr>
        <w:t>M</w:t>
      </w:r>
      <w:r w:rsidRPr="00657647">
        <w:rPr>
          <w:rFonts w:ascii="Cambria" w:hAnsi="Cambria"/>
          <w:sz w:val="22"/>
          <w:szCs w:val="22"/>
          <w:vertAlign w:val="subscript"/>
        </w:rPr>
        <w:t>1</w:t>
      </w:r>
      <w:r w:rsidRPr="00657647">
        <w:rPr>
          <w:rFonts w:ascii="Cambria" w:hAnsi="Cambria"/>
          <w:sz w:val="22"/>
          <w:szCs w:val="22"/>
        </w:rPr>
        <w:t xml:space="preserve"> : Deney için alınan reçel miktarı, (g),</w:t>
      </w:r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  <w:r w:rsidRPr="00657647">
        <w:rPr>
          <w:rFonts w:ascii="Cambria" w:hAnsi="Cambria"/>
          <w:sz w:val="22"/>
          <w:szCs w:val="22"/>
        </w:rPr>
        <w:t>M</w:t>
      </w:r>
      <w:r w:rsidRPr="00657647">
        <w:rPr>
          <w:rFonts w:ascii="Cambria" w:hAnsi="Cambria"/>
          <w:sz w:val="22"/>
          <w:szCs w:val="22"/>
          <w:vertAlign w:val="subscript"/>
        </w:rPr>
        <w:t>2</w:t>
      </w:r>
      <w:r w:rsidRPr="00657647">
        <w:rPr>
          <w:rFonts w:ascii="Cambria" w:hAnsi="Cambria"/>
          <w:sz w:val="22"/>
          <w:szCs w:val="22"/>
        </w:rPr>
        <w:t xml:space="preserve"> : Elek üzerindeki meyve kütlesi (g),</w:t>
      </w:r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  <w:r w:rsidRPr="00657647">
        <w:rPr>
          <w:rFonts w:ascii="Cambria" w:hAnsi="Cambria"/>
          <w:sz w:val="22"/>
          <w:szCs w:val="22"/>
        </w:rPr>
        <w:t>F : Düzeltme faktörü, (vişne için 1,5)</w:t>
      </w:r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</w:p>
    <w:p w:rsidR="00A9196C" w:rsidRPr="00657647" w:rsidRDefault="00A9196C" w:rsidP="00A9196C">
      <w:pPr>
        <w:tabs>
          <w:tab w:val="left" w:pos="709"/>
        </w:tabs>
        <w:spacing w:line="240" w:lineRule="exact"/>
        <w:rPr>
          <w:rFonts w:ascii="Cambria" w:hAnsi="Cambria"/>
          <w:sz w:val="22"/>
          <w:szCs w:val="22"/>
        </w:rPr>
      </w:pPr>
      <w:r w:rsidRPr="00657647">
        <w:rPr>
          <w:rFonts w:ascii="Cambria" w:hAnsi="Cambria"/>
          <w:sz w:val="22"/>
          <w:szCs w:val="22"/>
        </w:rPr>
        <w:t>Sonucun Madde 4.2.2'ye uygun olup olmadığına bakılır.</w:t>
      </w:r>
    </w:p>
    <w:p w:rsidR="00A9196C" w:rsidRPr="00657647" w:rsidRDefault="00A9196C" w:rsidP="00766CBF">
      <w:pPr>
        <w:jc w:val="left"/>
        <w:rPr>
          <w:rFonts w:ascii="Cambria" w:hAnsi="Cambria" w:cs="Arial"/>
          <w:sz w:val="22"/>
          <w:szCs w:val="22"/>
        </w:rPr>
      </w:pPr>
    </w:p>
    <w:sectPr w:rsidR="00A9196C" w:rsidRPr="00657647" w:rsidSect="008272AD">
      <w:pgSz w:w="11909" w:h="16834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6E2" w:rsidRDefault="004F56E2">
      <w:r>
        <w:separator/>
      </w:r>
    </w:p>
  </w:endnote>
  <w:endnote w:type="continuationSeparator" w:id="0">
    <w:p w:rsidR="004F56E2" w:rsidRDefault="004F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6E2" w:rsidRDefault="004F56E2">
      <w:r>
        <w:separator/>
      </w:r>
    </w:p>
  </w:footnote>
  <w:footnote w:type="continuationSeparator" w:id="0">
    <w:p w:rsidR="004F56E2" w:rsidRDefault="004F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626"/>
    <w:multiLevelType w:val="hybridMultilevel"/>
    <w:tmpl w:val="8F425DB8"/>
    <w:lvl w:ilvl="0" w:tplc="F18659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ECF"/>
    <w:multiLevelType w:val="hybridMultilevel"/>
    <w:tmpl w:val="9350FB3E"/>
    <w:lvl w:ilvl="0" w:tplc="237A6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132F"/>
    <w:multiLevelType w:val="multilevel"/>
    <w:tmpl w:val="A5345A34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4A79"/>
    <w:multiLevelType w:val="hybridMultilevel"/>
    <w:tmpl w:val="073E205A"/>
    <w:lvl w:ilvl="0" w:tplc="6E124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078B8"/>
    <w:multiLevelType w:val="hybridMultilevel"/>
    <w:tmpl w:val="4B2A1788"/>
    <w:lvl w:ilvl="0" w:tplc="806C4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6F73"/>
    <w:multiLevelType w:val="hybridMultilevel"/>
    <w:tmpl w:val="EBDA952C"/>
    <w:lvl w:ilvl="0" w:tplc="AA7E55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05FA0"/>
    <w:multiLevelType w:val="multilevel"/>
    <w:tmpl w:val="7102C9A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9480A5B"/>
    <w:multiLevelType w:val="hybridMultilevel"/>
    <w:tmpl w:val="88AC9AC2"/>
    <w:lvl w:ilvl="0" w:tplc="D6A868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34C14"/>
    <w:multiLevelType w:val="hybridMultilevel"/>
    <w:tmpl w:val="DB444C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VavgFnA/z+JMavzEfLhlPzWXJwgm6ZmaW7UVEdpjqEmRljH3M6J5IhV+2J2FtgywjbGnPoLaaWu9FUVheZNRTg==" w:salt="STkrCq3bKY4VxxFhk3XB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7A"/>
    <w:rsid w:val="0000088B"/>
    <w:rsid w:val="00000BB8"/>
    <w:rsid w:val="0001125A"/>
    <w:rsid w:val="00011B2F"/>
    <w:rsid w:val="0002245F"/>
    <w:rsid w:val="00026DCA"/>
    <w:rsid w:val="00030C08"/>
    <w:rsid w:val="00044158"/>
    <w:rsid w:val="00061296"/>
    <w:rsid w:val="000646BA"/>
    <w:rsid w:val="00071C04"/>
    <w:rsid w:val="00073BB4"/>
    <w:rsid w:val="00074DFE"/>
    <w:rsid w:val="000772B7"/>
    <w:rsid w:val="00084F05"/>
    <w:rsid w:val="000932C0"/>
    <w:rsid w:val="0009617D"/>
    <w:rsid w:val="000B40A5"/>
    <w:rsid w:val="000B4147"/>
    <w:rsid w:val="000B596D"/>
    <w:rsid w:val="000B6564"/>
    <w:rsid w:val="000C0D54"/>
    <w:rsid w:val="000C5429"/>
    <w:rsid w:val="000D448E"/>
    <w:rsid w:val="000D7ED5"/>
    <w:rsid w:val="000E55FE"/>
    <w:rsid w:val="000F121D"/>
    <w:rsid w:val="000F405A"/>
    <w:rsid w:val="000F647E"/>
    <w:rsid w:val="00111ECA"/>
    <w:rsid w:val="00121534"/>
    <w:rsid w:val="00131690"/>
    <w:rsid w:val="00134E30"/>
    <w:rsid w:val="00136773"/>
    <w:rsid w:val="001415E7"/>
    <w:rsid w:val="00141D09"/>
    <w:rsid w:val="0015267C"/>
    <w:rsid w:val="00184B5B"/>
    <w:rsid w:val="00187776"/>
    <w:rsid w:val="00193892"/>
    <w:rsid w:val="001A2C99"/>
    <w:rsid w:val="001A61EE"/>
    <w:rsid w:val="001B493D"/>
    <w:rsid w:val="001C35B3"/>
    <w:rsid w:val="001C3751"/>
    <w:rsid w:val="001D7B36"/>
    <w:rsid w:val="002006D9"/>
    <w:rsid w:val="002017F9"/>
    <w:rsid w:val="0021617A"/>
    <w:rsid w:val="00232A82"/>
    <w:rsid w:val="002358E8"/>
    <w:rsid w:val="002362D5"/>
    <w:rsid w:val="00260F8F"/>
    <w:rsid w:val="002727EE"/>
    <w:rsid w:val="00277FB9"/>
    <w:rsid w:val="002B330D"/>
    <w:rsid w:val="002B7037"/>
    <w:rsid w:val="002D0A0A"/>
    <w:rsid w:val="002D2511"/>
    <w:rsid w:val="002E31DB"/>
    <w:rsid w:val="002E42F8"/>
    <w:rsid w:val="002F0F0E"/>
    <w:rsid w:val="002F1443"/>
    <w:rsid w:val="003001AD"/>
    <w:rsid w:val="00304F4A"/>
    <w:rsid w:val="003129A5"/>
    <w:rsid w:val="003372DA"/>
    <w:rsid w:val="00342B62"/>
    <w:rsid w:val="0035585A"/>
    <w:rsid w:val="00364DF8"/>
    <w:rsid w:val="00365F0B"/>
    <w:rsid w:val="00366DE6"/>
    <w:rsid w:val="00373045"/>
    <w:rsid w:val="00373425"/>
    <w:rsid w:val="00391BAA"/>
    <w:rsid w:val="003954B1"/>
    <w:rsid w:val="00395F7E"/>
    <w:rsid w:val="00397CA2"/>
    <w:rsid w:val="003A0AD4"/>
    <w:rsid w:val="003A29CC"/>
    <w:rsid w:val="003C3EE6"/>
    <w:rsid w:val="003D44F7"/>
    <w:rsid w:val="003D5004"/>
    <w:rsid w:val="003E2256"/>
    <w:rsid w:val="003F34DA"/>
    <w:rsid w:val="003F4881"/>
    <w:rsid w:val="00420295"/>
    <w:rsid w:val="00430FD2"/>
    <w:rsid w:val="004479B2"/>
    <w:rsid w:val="00460033"/>
    <w:rsid w:val="00461925"/>
    <w:rsid w:val="00461F27"/>
    <w:rsid w:val="00475A2A"/>
    <w:rsid w:val="004864E5"/>
    <w:rsid w:val="004864FC"/>
    <w:rsid w:val="00493573"/>
    <w:rsid w:val="00496010"/>
    <w:rsid w:val="004A53D8"/>
    <w:rsid w:val="004D7A9C"/>
    <w:rsid w:val="004E643E"/>
    <w:rsid w:val="004F23BF"/>
    <w:rsid w:val="004F3131"/>
    <w:rsid w:val="004F56E2"/>
    <w:rsid w:val="005062DE"/>
    <w:rsid w:val="00510F18"/>
    <w:rsid w:val="00524763"/>
    <w:rsid w:val="0054063F"/>
    <w:rsid w:val="00543E2A"/>
    <w:rsid w:val="00543FB1"/>
    <w:rsid w:val="0056086E"/>
    <w:rsid w:val="00564902"/>
    <w:rsid w:val="00565D5D"/>
    <w:rsid w:val="00582DA8"/>
    <w:rsid w:val="00584E1F"/>
    <w:rsid w:val="00586BDC"/>
    <w:rsid w:val="005A2503"/>
    <w:rsid w:val="005A38AE"/>
    <w:rsid w:val="005A4FAB"/>
    <w:rsid w:val="005B1F84"/>
    <w:rsid w:val="005B3047"/>
    <w:rsid w:val="005C1EE5"/>
    <w:rsid w:val="005D1409"/>
    <w:rsid w:val="005D39D8"/>
    <w:rsid w:val="005F63F5"/>
    <w:rsid w:val="005F7591"/>
    <w:rsid w:val="0061364E"/>
    <w:rsid w:val="00617406"/>
    <w:rsid w:val="006217DD"/>
    <w:rsid w:val="00630783"/>
    <w:rsid w:val="00630927"/>
    <w:rsid w:val="00631C04"/>
    <w:rsid w:val="0064090F"/>
    <w:rsid w:val="006542FC"/>
    <w:rsid w:val="00657647"/>
    <w:rsid w:val="00660597"/>
    <w:rsid w:val="006669A8"/>
    <w:rsid w:val="00673024"/>
    <w:rsid w:val="006812F2"/>
    <w:rsid w:val="00690553"/>
    <w:rsid w:val="006960F5"/>
    <w:rsid w:val="006B0763"/>
    <w:rsid w:val="006B1C38"/>
    <w:rsid w:val="006C30BA"/>
    <w:rsid w:val="006C71D9"/>
    <w:rsid w:val="006D743F"/>
    <w:rsid w:val="006F3DBC"/>
    <w:rsid w:val="006F5FE6"/>
    <w:rsid w:val="00701216"/>
    <w:rsid w:val="007026F4"/>
    <w:rsid w:val="007027A2"/>
    <w:rsid w:val="00712715"/>
    <w:rsid w:val="007236AE"/>
    <w:rsid w:val="00726F26"/>
    <w:rsid w:val="00730354"/>
    <w:rsid w:val="00741492"/>
    <w:rsid w:val="0074187A"/>
    <w:rsid w:val="00745105"/>
    <w:rsid w:val="00752D3B"/>
    <w:rsid w:val="00755285"/>
    <w:rsid w:val="00763150"/>
    <w:rsid w:val="00764EF0"/>
    <w:rsid w:val="00766CBF"/>
    <w:rsid w:val="00772BE6"/>
    <w:rsid w:val="007836D3"/>
    <w:rsid w:val="007A70F4"/>
    <w:rsid w:val="007B1FBF"/>
    <w:rsid w:val="007B642E"/>
    <w:rsid w:val="007D0D53"/>
    <w:rsid w:val="007D1903"/>
    <w:rsid w:val="007D1BB8"/>
    <w:rsid w:val="007D333B"/>
    <w:rsid w:val="007E27C2"/>
    <w:rsid w:val="008115A1"/>
    <w:rsid w:val="0082557F"/>
    <w:rsid w:val="008272AD"/>
    <w:rsid w:val="00834B82"/>
    <w:rsid w:val="00834DAE"/>
    <w:rsid w:val="008611FE"/>
    <w:rsid w:val="008854FC"/>
    <w:rsid w:val="00897839"/>
    <w:rsid w:val="008A2531"/>
    <w:rsid w:val="008B355A"/>
    <w:rsid w:val="008B7FD4"/>
    <w:rsid w:val="008C2D5A"/>
    <w:rsid w:val="008C4B6E"/>
    <w:rsid w:val="008C54AC"/>
    <w:rsid w:val="008D075A"/>
    <w:rsid w:val="008D4EDC"/>
    <w:rsid w:val="008E3331"/>
    <w:rsid w:val="008F432E"/>
    <w:rsid w:val="008F6321"/>
    <w:rsid w:val="008F72AD"/>
    <w:rsid w:val="00901B60"/>
    <w:rsid w:val="009025A8"/>
    <w:rsid w:val="009045EB"/>
    <w:rsid w:val="0090479A"/>
    <w:rsid w:val="00926EAA"/>
    <w:rsid w:val="009310BF"/>
    <w:rsid w:val="00941F64"/>
    <w:rsid w:val="00956F56"/>
    <w:rsid w:val="00961713"/>
    <w:rsid w:val="00966B88"/>
    <w:rsid w:val="0097083D"/>
    <w:rsid w:val="00992ED8"/>
    <w:rsid w:val="009B104D"/>
    <w:rsid w:val="009B1BBB"/>
    <w:rsid w:val="009B6C9E"/>
    <w:rsid w:val="009C2FE1"/>
    <w:rsid w:val="009C4C1C"/>
    <w:rsid w:val="009D346D"/>
    <w:rsid w:val="009F12F8"/>
    <w:rsid w:val="009F2A87"/>
    <w:rsid w:val="009F582F"/>
    <w:rsid w:val="009F6208"/>
    <w:rsid w:val="009F635F"/>
    <w:rsid w:val="009F6C34"/>
    <w:rsid w:val="00A05B10"/>
    <w:rsid w:val="00A125BB"/>
    <w:rsid w:val="00A146E3"/>
    <w:rsid w:val="00A240FC"/>
    <w:rsid w:val="00A26657"/>
    <w:rsid w:val="00A605B9"/>
    <w:rsid w:val="00A64B1C"/>
    <w:rsid w:val="00A6681F"/>
    <w:rsid w:val="00A66FDF"/>
    <w:rsid w:val="00A7147E"/>
    <w:rsid w:val="00A74365"/>
    <w:rsid w:val="00A74402"/>
    <w:rsid w:val="00A75578"/>
    <w:rsid w:val="00A81DF6"/>
    <w:rsid w:val="00A9196C"/>
    <w:rsid w:val="00AA6DAA"/>
    <w:rsid w:val="00AB0D5C"/>
    <w:rsid w:val="00AB4BB8"/>
    <w:rsid w:val="00AB72E3"/>
    <w:rsid w:val="00AC1983"/>
    <w:rsid w:val="00AC6C95"/>
    <w:rsid w:val="00AE1A9C"/>
    <w:rsid w:val="00B21939"/>
    <w:rsid w:val="00B220E2"/>
    <w:rsid w:val="00B264B3"/>
    <w:rsid w:val="00B37AF7"/>
    <w:rsid w:val="00B5315A"/>
    <w:rsid w:val="00B65815"/>
    <w:rsid w:val="00B81A3B"/>
    <w:rsid w:val="00B9562D"/>
    <w:rsid w:val="00B97525"/>
    <w:rsid w:val="00B9763F"/>
    <w:rsid w:val="00BA0238"/>
    <w:rsid w:val="00BA485B"/>
    <w:rsid w:val="00BC1AC9"/>
    <w:rsid w:val="00BC41E3"/>
    <w:rsid w:val="00BC47DF"/>
    <w:rsid w:val="00BD5599"/>
    <w:rsid w:val="00BD77D2"/>
    <w:rsid w:val="00BE0369"/>
    <w:rsid w:val="00BF1182"/>
    <w:rsid w:val="00BF7B75"/>
    <w:rsid w:val="00C1680E"/>
    <w:rsid w:val="00C24CC4"/>
    <w:rsid w:val="00C261E0"/>
    <w:rsid w:val="00C334CB"/>
    <w:rsid w:val="00C353B6"/>
    <w:rsid w:val="00C448E7"/>
    <w:rsid w:val="00C56E1A"/>
    <w:rsid w:val="00C66E45"/>
    <w:rsid w:val="00C679CA"/>
    <w:rsid w:val="00C752F9"/>
    <w:rsid w:val="00C8127A"/>
    <w:rsid w:val="00C821BA"/>
    <w:rsid w:val="00C87DB3"/>
    <w:rsid w:val="00C90D73"/>
    <w:rsid w:val="00C91B99"/>
    <w:rsid w:val="00CA7B63"/>
    <w:rsid w:val="00CB4269"/>
    <w:rsid w:val="00CB4934"/>
    <w:rsid w:val="00CC3CA9"/>
    <w:rsid w:val="00CD0C9A"/>
    <w:rsid w:val="00CD2C07"/>
    <w:rsid w:val="00CF293B"/>
    <w:rsid w:val="00CF3570"/>
    <w:rsid w:val="00CF38C8"/>
    <w:rsid w:val="00CF57CF"/>
    <w:rsid w:val="00D05385"/>
    <w:rsid w:val="00D17D7C"/>
    <w:rsid w:val="00D277E1"/>
    <w:rsid w:val="00D30CDC"/>
    <w:rsid w:val="00D364CB"/>
    <w:rsid w:val="00D41C76"/>
    <w:rsid w:val="00D75D3B"/>
    <w:rsid w:val="00D76403"/>
    <w:rsid w:val="00D764E2"/>
    <w:rsid w:val="00D95ABA"/>
    <w:rsid w:val="00DA46AE"/>
    <w:rsid w:val="00DA5D76"/>
    <w:rsid w:val="00DC074A"/>
    <w:rsid w:val="00DC38D3"/>
    <w:rsid w:val="00DD50D1"/>
    <w:rsid w:val="00DF3B21"/>
    <w:rsid w:val="00E0031E"/>
    <w:rsid w:val="00E021CE"/>
    <w:rsid w:val="00E042E2"/>
    <w:rsid w:val="00E20A88"/>
    <w:rsid w:val="00E26AA8"/>
    <w:rsid w:val="00E26BA0"/>
    <w:rsid w:val="00E342A8"/>
    <w:rsid w:val="00E405A9"/>
    <w:rsid w:val="00E51BB3"/>
    <w:rsid w:val="00E72167"/>
    <w:rsid w:val="00E75176"/>
    <w:rsid w:val="00E93969"/>
    <w:rsid w:val="00E95E1D"/>
    <w:rsid w:val="00EA4E2E"/>
    <w:rsid w:val="00EA79DD"/>
    <w:rsid w:val="00EC6BE2"/>
    <w:rsid w:val="00EF1C20"/>
    <w:rsid w:val="00EF7E78"/>
    <w:rsid w:val="00F04158"/>
    <w:rsid w:val="00F06EF5"/>
    <w:rsid w:val="00F17866"/>
    <w:rsid w:val="00F227AD"/>
    <w:rsid w:val="00F24D0F"/>
    <w:rsid w:val="00F25169"/>
    <w:rsid w:val="00F26DF4"/>
    <w:rsid w:val="00F33C3D"/>
    <w:rsid w:val="00F50D89"/>
    <w:rsid w:val="00F542C6"/>
    <w:rsid w:val="00F57AA3"/>
    <w:rsid w:val="00F6680E"/>
    <w:rsid w:val="00F72AEE"/>
    <w:rsid w:val="00F80A60"/>
    <w:rsid w:val="00F87F3B"/>
    <w:rsid w:val="00F91F76"/>
    <w:rsid w:val="00FA346A"/>
    <w:rsid w:val="00FA3C3E"/>
    <w:rsid w:val="00FB2FF7"/>
    <w:rsid w:val="00FB761A"/>
    <w:rsid w:val="00FC3231"/>
    <w:rsid w:val="00FD26AF"/>
    <w:rsid w:val="00FD58F1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557AB2"/>
  <w15:docId w15:val="{6D414D46-92A3-4AAF-BEC0-6C7F070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1FBF"/>
    <w:pPr>
      <w:jc w:val="both"/>
    </w:pPr>
    <w:rPr>
      <w:rFonts w:ascii="Arial" w:hAnsi="Arial"/>
      <w:noProof/>
      <w:szCs w:val="24"/>
    </w:rPr>
  </w:style>
  <w:style w:type="paragraph" w:styleId="Balk1">
    <w:name w:val="heading 1"/>
    <w:aliases w:val="1 Heading,baslık 1,Heading 1 Char"/>
    <w:basedOn w:val="Normal"/>
    <w:next w:val="Normal"/>
    <w:link w:val="Balk1Char"/>
    <w:qFormat/>
    <w:rsid w:val="0021617A"/>
    <w:pPr>
      <w:keepNext/>
      <w:tabs>
        <w:tab w:val="left" w:pos="567"/>
      </w:tabs>
      <w:outlineLvl w:val="0"/>
    </w:pPr>
    <w:rPr>
      <w:rFonts w:cs="Arial"/>
      <w:b/>
      <w:bCs/>
      <w:kern w:val="28"/>
      <w:sz w:val="28"/>
      <w:szCs w:val="28"/>
      <w:lang w:val="en-AU"/>
    </w:rPr>
  </w:style>
  <w:style w:type="paragraph" w:styleId="Balk2">
    <w:name w:val="heading 2"/>
    <w:basedOn w:val="Normal"/>
    <w:next w:val="Normal"/>
    <w:qFormat/>
    <w:rsid w:val="00524763"/>
    <w:pPr>
      <w:keepNext/>
      <w:spacing w:before="240" w:after="60"/>
      <w:jc w:val="left"/>
      <w:outlineLvl w:val="1"/>
    </w:pPr>
    <w:rPr>
      <w:rFonts w:cs="Arial"/>
      <w:b/>
      <w:bCs/>
      <w:i/>
      <w:iCs/>
      <w:noProof w:val="0"/>
      <w:sz w:val="28"/>
      <w:szCs w:val="28"/>
    </w:rPr>
  </w:style>
  <w:style w:type="paragraph" w:styleId="Balk3">
    <w:name w:val="heading 3"/>
    <w:aliases w:val="Heading 3 Char,Başlık 3 Char Char"/>
    <w:basedOn w:val="Normal"/>
    <w:next w:val="Normal"/>
    <w:link w:val="Balk3Char"/>
    <w:qFormat/>
    <w:rsid w:val="0021617A"/>
    <w:pPr>
      <w:keepNext/>
      <w:tabs>
        <w:tab w:val="left" w:pos="567"/>
      </w:tabs>
      <w:outlineLvl w:val="2"/>
    </w:pPr>
    <w:rPr>
      <w:rFonts w:cs="Arial"/>
      <w:b/>
      <w:bCs/>
      <w:sz w:val="22"/>
      <w:szCs w:val="22"/>
    </w:rPr>
  </w:style>
  <w:style w:type="paragraph" w:styleId="Balk4">
    <w:name w:val="heading 4"/>
    <w:basedOn w:val="Normal"/>
    <w:next w:val="Normal"/>
    <w:link w:val="Balk4Char"/>
    <w:qFormat/>
    <w:rsid w:val="0021617A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en-AU"/>
    </w:rPr>
  </w:style>
  <w:style w:type="paragraph" w:styleId="Balk5">
    <w:name w:val="heading 5"/>
    <w:basedOn w:val="Normal"/>
    <w:next w:val="Normal"/>
    <w:link w:val="Balk5Char"/>
    <w:qFormat/>
    <w:rsid w:val="0021617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  <w:lang w:val="en-AU"/>
    </w:rPr>
  </w:style>
  <w:style w:type="paragraph" w:styleId="Balk7">
    <w:name w:val="heading 7"/>
    <w:basedOn w:val="Normal"/>
    <w:next w:val="Normal"/>
    <w:link w:val="Balk7Char"/>
    <w:qFormat/>
    <w:rsid w:val="0021617A"/>
    <w:pPr>
      <w:keepNext/>
      <w:outlineLvl w:val="6"/>
    </w:pPr>
    <w:rPr>
      <w:rFonts w:cs="Arial"/>
      <w:b/>
      <w:bCs/>
      <w:sz w:val="22"/>
    </w:rPr>
  </w:style>
  <w:style w:type="paragraph" w:styleId="Balk9">
    <w:name w:val="heading 9"/>
    <w:basedOn w:val="Normal"/>
    <w:next w:val="Normal"/>
    <w:qFormat/>
    <w:rsid w:val="00D17D7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 Heading Char1,baslık 1 Char1,Heading 1 Char Char1"/>
    <w:link w:val="Balk1"/>
    <w:rsid w:val="0021617A"/>
    <w:rPr>
      <w:rFonts w:ascii="Arial" w:hAnsi="Arial" w:cs="Arial"/>
      <w:b/>
      <w:bCs/>
      <w:noProof/>
      <w:kern w:val="28"/>
      <w:sz w:val="28"/>
      <w:szCs w:val="28"/>
      <w:lang w:val="en-AU" w:eastAsia="tr-TR" w:bidi="ar-SA"/>
    </w:rPr>
  </w:style>
  <w:style w:type="character" w:customStyle="1" w:styleId="Balk3Char">
    <w:name w:val="Başlık 3 Char"/>
    <w:aliases w:val="Heading 3 Char Char1,Başlık 3 Char Char Char"/>
    <w:link w:val="Balk3"/>
    <w:rsid w:val="0021617A"/>
    <w:rPr>
      <w:rFonts w:ascii="Arial" w:hAnsi="Arial" w:cs="Arial"/>
      <w:b/>
      <w:bCs/>
      <w:noProof/>
      <w:sz w:val="22"/>
      <w:szCs w:val="22"/>
      <w:lang w:val="tr-TR" w:eastAsia="tr-TR" w:bidi="ar-SA"/>
    </w:rPr>
  </w:style>
  <w:style w:type="character" w:customStyle="1" w:styleId="Balk4Char">
    <w:name w:val="Başlık 4 Char"/>
    <w:link w:val="Balk4"/>
    <w:rsid w:val="0021617A"/>
    <w:rPr>
      <w:rFonts w:ascii="Arial" w:eastAsia="Arial Unicode MS" w:hAnsi="Arial"/>
      <w:b/>
      <w:bCs/>
      <w:noProof/>
      <w:sz w:val="28"/>
      <w:szCs w:val="28"/>
      <w:lang w:val="en-AU" w:eastAsia="tr-TR" w:bidi="ar-SA"/>
    </w:rPr>
  </w:style>
  <w:style w:type="character" w:customStyle="1" w:styleId="Balk5Char">
    <w:name w:val="Başlık 5 Char"/>
    <w:link w:val="Balk5"/>
    <w:rsid w:val="0021617A"/>
    <w:rPr>
      <w:rFonts w:ascii="Arial" w:eastAsia="Arial Unicode MS" w:hAnsi="Arial"/>
      <w:b/>
      <w:bCs/>
      <w:i/>
      <w:iCs/>
      <w:noProof/>
      <w:sz w:val="26"/>
      <w:szCs w:val="26"/>
      <w:lang w:val="en-AU" w:eastAsia="tr-TR" w:bidi="ar-SA"/>
    </w:rPr>
  </w:style>
  <w:style w:type="character" w:customStyle="1" w:styleId="Balk7Char">
    <w:name w:val="Başlık 7 Char"/>
    <w:link w:val="Balk7"/>
    <w:rsid w:val="0021617A"/>
    <w:rPr>
      <w:rFonts w:ascii="Arial" w:hAnsi="Arial" w:cs="Arial"/>
      <w:b/>
      <w:bCs/>
      <w:noProof/>
      <w:sz w:val="22"/>
      <w:szCs w:val="24"/>
      <w:lang w:val="tr-TR" w:eastAsia="tr-TR" w:bidi="ar-SA"/>
    </w:rPr>
  </w:style>
  <w:style w:type="paragraph" w:styleId="GvdeMetni">
    <w:name w:val="Body Text"/>
    <w:basedOn w:val="Normal"/>
    <w:link w:val="GvdeMetniChar"/>
    <w:rsid w:val="0021617A"/>
    <w:pPr>
      <w:spacing w:after="120"/>
    </w:pPr>
  </w:style>
  <w:style w:type="character" w:customStyle="1" w:styleId="GvdeMetniChar">
    <w:name w:val="Gövde Metni Char"/>
    <w:link w:val="GvdeMetni"/>
    <w:rsid w:val="0021617A"/>
    <w:rPr>
      <w:rFonts w:ascii="Arial" w:hAnsi="Arial"/>
      <w:noProof/>
      <w:szCs w:val="24"/>
      <w:lang w:val="tr-TR" w:eastAsia="tr-TR" w:bidi="ar-SA"/>
    </w:rPr>
  </w:style>
  <w:style w:type="paragraph" w:styleId="stBilgi">
    <w:name w:val="header"/>
    <w:basedOn w:val="Normal"/>
    <w:link w:val="stBilgiChar"/>
    <w:rsid w:val="002161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1617A"/>
    <w:rPr>
      <w:rFonts w:ascii="Arial" w:hAnsi="Arial"/>
      <w:noProof/>
      <w:szCs w:val="24"/>
      <w:lang w:val="tr-TR" w:eastAsia="tr-TR" w:bidi="ar-SA"/>
    </w:rPr>
  </w:style>
  <w:style w:type="character" w:customStyle="1" w:styleId="CharChar">
    <w:name w:val="Char Char"/>
    <w:rsid w:val="0021617A"/>
    <w:rPr>
      <w:rFonts w:ascii="Arial" w:hAnsi="Arial" w:cs="Arial"/>
      <w:b/>
      <w:bCs/>
      <w:sz w:val="26"/>
      <w:szCs w:val="26"/>
      <w:lang w:val="tr-TR" w:eastAsia="tr-TR" w:bidi="ar-SA"/>
    </w:rPr>
  </w:style>
  <w:style w:type="table" w:styleId="TabloKlavuzu">
    <w:name w:val="Table Grid"/>
    <w:basedOn w:val="NormalTablo"/>
    <w:rsid w:val="0021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52476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479B2"/>
    <w:rPr>
      <w:rFonts w:ascii="Tahoma" w:hAnsi="Tahoma" w:cs="Tahoma"/>
      <w:sz w:val="16"/>
      <w:szCs w:val="16"/>
    </w:rPr>
  </w:style>
  <w:style w:type="character" w:customStyle="1" w:styleId="Heading3CharChar">
    <w:name w:val="Heading 3 Char Char"/>
    <w:aliases w:val="Başlık 3 Char Char Char Char"/>
    <w:rsid w:val="00834B82"/>
    <w:rPr>
      <w:rFonts w:eastAsia="Times New Roman" w:cs="Arial"/>
      <w:b/>
      <w:bCs/>
      <w:sz w:val="22"/>
      <w:szCs w:val="26"/>
    </w:rPr>
  </w:style>
  <w:style w:type="paragraph" w:customStyle="1" w:styleId="StyleStyle2Centered">
    <w:name w:val="Style Style2 + Centered"/>
    <w:basedOn w:val="Normal"/>
    <w:next w:val="Normal"/>
    <w:rsid w:val="002E42F8"/>
    <w:pPr>
      <w:jc w:val="center"/>
    </w:pPr>
    <w:rPr>
      <w:noProof w:val="0"/>
      <w:szCs w:val="20"/>
    </w:rPr>
  </w:style>
  <w:style w:type="paragraph" w:styleId="KonuBal">
    <w:name w:val="Title"/>
    <w:basedOn w:val="Normal"/>
    <w:qFormat/>
    <w:rsid w:val="009F6C34"/>
    <w:pPr>
      <w:jc w:val="center"/>
    </w:pPr>
    <w:rPr>
      <w:b/>
      <w:noProof w:val="0"/>
      <w:sz w:val="28"/>
      <w:lang w:eastAsia="en-US"/>
    </w:rPr>
  </w:style>
  <w:style w:type="paragraph" w:styleId="AklamaMetni">
    <w:name w:val="annotation text"/>
    <w:basedOn w:val="Normal"/>
    <w:rsid w:val="006669A8"/>
    <w:pPr>
      <w:jc w:val="left"/>
    </w:pPr>
    <w:rPr>
      <w:rFonts w:ascii="Times New Roman" w:hAnsi="Times New Roman"/>
      <w:noProof w:val="0"/>
      <w:szCs w:val="20"/>
      <w:lang w:val="en-US" w:eastAsia="en-US"/>
    </w:rPr>
  </w:style>
  <w:style w:type="paragraph" w:styleId="Dzeltme">
    <w:name w:val="Revision"/>
    <w:hidden/>
    <w:uiPriority w:val="99"/>
    <w:semiHidden/>
    <w:rsid w:val="00E0031E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99"/>
    <w:qFormat/>
    <w:rsid w:val="00CF57CF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365F0B"/>
    <w:rPr>
      <w:strike w:val="0"/>
      <w:dstrike w:val="0"/>
      <w:color w:val="000080"/>
      <w:sz w:val="17"/>
      <w:szCs w:val="17"/>
      <w:u w:val="none"/>
      <w:effect w:val="none"/>
    </w:rPr>
  </w:style>
  <w:style w:type="paragraph" w:customStyle="1" w:styleId="a">
    <w:basedOn w:val="Normal"/>
    <w:next w:val="stBilgi"/>
    <w:link w:val="stbilgiChar0"/>
    <w:rsid w:val="0097083D"/>
    <w:pPr>
      <w:tabs>
        <w:tab w:val="center" w:pos="4536"/>
        <w:tab w:val="right" w:pos="9072"/>
      </w:tabs>
      <w:jc w:val="left"/>
    </w:pPr>
    <w:rPr>
      <w:rFonts w:ascii="Times New Roman" w:hAnsi="Times New Roman"/>
      <w:noProof w:val="0"/>
      <w:sz w:val="24"/>
      <w:lang w:val="en-US"/>
    </w:rPr>
  </w:style>
  <w:style w:type="character" w:customStyle="1" w:styleId="stbilgiChar0">
    <w:name w:val="Üstbilgi Char"/>
    <w:basedOn w:val="VarsaylanParagrafYazTipi"/>
    <w:link w:val="a"/>
    <w:rsid w:val="0097083D"/>
    <w:rPr>
      <w:rFonts w:ascii="Times New Roman" w:eastAsia="Times New Roman" w:hAnsi="Times New Roman"/>
      <w:sz w:val="24"/>
      <w:szCs w:val="24"/>
      <w:lang w:val="en-US"/>
    </w:rPr>
  </w:style>
  <w:style w:type="paragraph" w:styleId="GvdeMetniGirintisi2">
    <w:name w:val="Body Text Indent 2"/>
    <w:basedOn w:val="Normal"/>
    <w:link w:val="GvdeMetniGirintisi2Char"/>
    <w:rsid w:val="0097083D"/>
    <w:pPr>
      <w:spacing w:after="120" w:line="480" w:lineRule="auto"/>
      <w:ind w:left="283"/>
      <w:jc w:val="left"/>
    </w:pPr>
    <w:rPr>
      <w:noProof w:val="0"/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7083D"/>
    <w:rPr>
      <w:rFonts w:ascii="Arial" w:hAnsi="Arial"/>
      <w:szCs w:val="24"/>
      <w:lang w:eastAsia="en-US"/>
    </w:rPr>
  </w:style>
  <w:style w:type="character" w:styleId="Gl">
    <w:name w:val="Strong"/>
    <w:basedOn w:val="VarsaylanParagrafYazTipi"/>
    <w:qFormat/>
    <w:rsid w:val="0097083D"/>
    <w:rPr>
      <w:b/>
      <w:bCs/>
    </w:rPr>
  </w:style>
  <w:style w:type="character" w:customStyle="1" w:styleId="Balk1Char1">
    <w:name w:val="Başlık 1 Char1"/>
    <w:aliases w:val="1 Heading Char,baslık 1 Char,Heading 1 Char Char"/>
    <w:locked/>
    <w:rsid w:val="00C821BA"/>
    <w:rPr>
      <w:rFonts w:ascii="Arial" w:eastAsia="SimSun" w:hAnsi="Arial" w:cs="Times New Roman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1493-6148-4C8B-8A16-D252C65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petrol.hg</dc:creator>
  <cp:lastModifiedBy>Aslı ERZURUMDAĞ</cp:lastModifiedBy>
  <cp:revision>2</cp:revision>
  <cp:lastPrinted>2017-01-25T17:16:00Z</cp:lastPrinted>
  <dcterms:created xsi:type="dcterms:W3CDTF">2020-12-07T12:20:00Z</dcterms:created>
  <dcterms:modified xsi:type="dcterms:W3CDTF">2020-12-07T12:20:00Z</dcterms:modified>
</cp:coreProperties>
</file>