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F3904">
        <w:rPr>
          <w:b/>
        </w:rPr>
        <w:t>2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910EFE">
        <w:rPr>
          <w:b/>
        </w:rPr>
        <w:t>EYLÜL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910EFE">
        <w:rPr>
          <w:b/>
        </w:rPr>
        <w:t>EYLÜL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910EFE">
        <w:rPr>
          <w:b/>
          <w:u w:val="single"/>
        </w:rPr>
        <w:t>22,33</w:t>
      </w:r>
      <w:r w:rsidRPr="002E3D42">
        <w:rPr>
          <w:b/>
          <w:u w:val="single"/>
        </w:rPr>
        <w:t>’L</w:t>
      </w:r>
      <w:r w:rsidR="00910EFE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910EFE">
        <w:rPr>
          <w:b/>
          <w:u w:val="single"/>
        </w:rPr>
        <w:t xml:space="preserve"> ARTIŞ OLDUĞU GÖRÜLMESİNE RAĞMEN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910EFE">
        <w:rPr>
          <w:b/>
          <w:u w:val="single"/>
        </w:rPr>
        <w:t xml:space="preserve"> </w:t>
      </w:r>
      <w:r w:rsidRPr="002E3D42">
        <w:rPr>
          <w:b/>
          <w:u w:val="single"/>
        </w:rPr>
        <w:t xml:space="preserve">YÜZDE </w:t>
      </w:r>
      <w:r w:rsidR="00910EFE">
        <w:rPr>
          <w:b/>
          <w:u w:val="single"/>
        </w:rPr>
        <w:t>8</w:t>
      </w:r>
      <w:r w:rsidR="00F03F3B">
        <w:rPr>
          <w:b/>
          <w:u w:val="single"/>
        </w:rPr>
        <w:t>,</w:t>
      </w:r>
      <w:r w:rsidR="00D34E42">
        <w:rPr>
          <w:b/>
          <w:u w:val="single"/>
        </w:rPr>
        <w:t>3</w:t>
      </w:r>
      <w:r w:rsidR="00910EFE">
        <w:rPr>
          <w:b/>
          <w:u w:val="single"/>
        </w:rPr>
        <w:t>1</w:t>
      </w:r>
      <w:r w:rsidRPr="002E3D42">
        <w:rPr>
          <w:b/>
          <w:u w:val="single"/>
        </w:rPr>
        <w:t>’L</w:t>
      </w:r>
      <w:r w:rsidR="00910EFE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F3904">
        <w:rPr>
          <w:b/>
        </w:rPr>
        <w:t>2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910EFE">
        <w:rPr>
          <w:b/>
        </w:rPr>
        <w:t>9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910EFE">
        <w:rPr>
          <w:b/>
          <w:u w:val="single"/>
        </w:rPr>
        <w:t>0</w:t>
      </w:r>
      <w:r w:rsidR="00DB2032">
        <w:rPr>
          <w:b/>
          <w:u w:val="single"/>
        </w:rPr>
        <w:t>,</w:t>
      </w:r>
      <w:r w:rsidR="00910EFE">
        <w:rPr>
          <w:b/>
          <w:u w:val="single"/>
        </w:rPr>
        <w:t>94</w:t>
      </w:r>
      <w:r w:rsidR="007B5079">
        <w:rPr>
          <w:b/>
          <w:u w:val="single"/>
        </w:rPr>
        <w:t>’L</w:t>
      </w:r>
      <w:r w:rsidR="00910EFE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A2FC0">
        <w:rPr>
          <w:b/>
          <w:u w:val="single"/>
        </w:rPr>
        <w:t>DA</w:t>
      </w:r>
      <w:r w:rsidR="007550AE" w:rsidRPr="00B30E5F">
        <w:rPr>
          <w:b/>
          <w:u w:val="single"/>
        </w:rPr>
        <w:t xml:space="preserve"> YÜZDE </w:t>
      </w:r>
      <w:r w:rsidR="0071695B">
        <w:rPr>
          <w:b/>
          <w:u w:val="single"/>
        </w:rPr>
        <w:t>1</w:t>
      </w:r>
      <w:r w:rsidR="007038DD">
        <w:rPr>
          <w:b/>
          <w:u w:val="single"/>
        </w:rPr>
        <w:t>,</w:t>
      </w:r>
      <w:r w:rsidR="0071695B">
        <w:rPr>
          <w:b/>
          <w:u w:val="single"/>
        </w:rPr>
        <w:t>97</w:t>
      </w:r>
      <w:r w:rsidR="007B5079">
        <w:rPr>
          <w:b/>
          <w:u w:val="single"/>
        </w:rPr>
        <w:t>’L</w:t>
      </w:r>
      <w:r w:rsidR="008A2FC0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F3904">
        <w:t>2</w:t>
      </w:r>
      <w:r w:rsidR="004407B0">
        <w:t xml:space="preserve"> yılı </w:t>
      </w:r>
      <w:r w:rsidR="00910EFE">
        <w:t>Eylül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910EFE">
        <w:t>Eylül</w:t>
      </w:r>
      <w:r w:rsidR="004407B0">
        <w:t xml:space="preserve"> ayına göre verilen geçiş belgesi sayısında yüzde </w:t>
      </w:r>
      <w:r w:rsidR="00910EFE">
        <w:t>22,33</w:t>
      </w:r>
      <w:r w:rsidR="00A84719">
        <w:t>’l</w:t>
      </w:r>
      <w:r w:rsidR="00910EFE">
        <w:t>ü</w:t>
      </w:r>
      <w:r w:rsidR="004407B0">
        <w:t>k</w:t>
      </w:r>
      <w:r w:rsidR="00910EFE">
        <w:t xml:space="preserve"> artış görülmesine rağmen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910EFE">
        <w:t xml:space="preserve"> </w:t>
      </w:r>
      <w:r w:rsidR="004407B0">
        <w:t xml:space="preserve">yüzde </w:t>
      </w:r>
      <w:r w:rsidR="00910EFE">
        <w:t>8</w:t>
      </w:r>
      <w:r w:rsidR="004407B0">
        <w:t>,</w:t>
      </w:r>
      <w:r w:rsidR="00D34E42">
        <w:t>3</w:t>
      </w:r>
      <w:r w:rsidR="00910EFE">
        <w:t>1</w:t>
      </w:r>
      <w:r w:rsidR="004407B0">
        <w:t>’l</w:t>
      </w:r>
      <w:r w:rsidR="00910EFE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910EFE">
            <w:pPr>
              <w:jc w:val="center"/>
            </w:pPr>
            <w:r>
              <w:t>201</w:t>
            </w:r>
            <w:r w:rsidR="008F3904">
              <w:t>1</w:t>
            </w:r>
            <w:r>
              <w:t xml:space="preserve"> (</w:t>
            </w:r>
            <w:r w:rsidR="00910EFE">
              <w:t>Eylül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910EFE">
            <w:pPr>
              <w:jc w:val="center"/>
            </w:pPr>
            <w:r>
              <w:t>201</w:t>
            </w:r>
            <w:r w:rsidR="008F3904">
              <w:t>2</w:t>
            </w:r>
            <w:r>
              <w:t xml:space="preserve"> (</w:t>
            </w:r>
            <w:r w:rsidR="00910EFE">
              <w:t>Eylül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10EFE">
            <w:pPr>
              <w:jc w:val="center"/>
            </w:pPr>
            <w:r>
              <w:t>68.087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53E1F" w:rsidP="000C3931">
            <w:pPr>
              <w:jc w:val="center"/>
            </w:pPr>
            <w:r>
              <w:t>83.291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D53E1F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D53E1F">
              <w:t>22,33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10EFE">
            <w:pPr>
              <w:jc w:val="center"/>
            </w:pPr>
            <w:r>
              <w:t>57.805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53E1F">
            <w:pPr>
              <w:jc w:val="center"/>
            </w:pPr>
            <w:r>
              <w:t>53.000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D53E1F">
            <w:r>
              <w:t xml:space="preserve">         </w:t>
            </w:r>
            <w:r w:rsidR="00AE6D8D">
              <w:t>% -</w:t>
            </w:r>
            <w:r w:rsidR="00D53E1F">
              <w:t>8,31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D53E1F">
        <w:t>dokuz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D53E1F">
        <w:t>0</w:t>
      </w:r>
      <w:r w:rsidR="00AE6D8D">
        <w:t>,</w:t>
      </w:r>
      <w:r w:rsidR="00D53E1F">
        <w:t>94</w:t>
      </w:r>
      <w:r w:rsidR="00EB4F82">
        <w:t>’</w:t>
      </w:r>
      <w:r w:rsidR="00D53E1F">
        <w:t>lü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BE5617">
        <w:t>da</w:t>
      </w:r>
      <w:r w:rsidR="004407B0">
        <w:t xml:space="preserve"> yüzde </w:t>
      </w:r>
      <w:r w:rsidR="0071695B">
        <w:t>1</w:t>
      </w:r>
      <w:r w:rsidR="00D53E1F">
        <w:t>,</w:t>
      </w:r>
      <w:r w:rsidR="0071695B">
        <w:t>97</w:t>
      </w:r>
      <w:r w:rsidR="00A978A4">
        <w:t>’li</w:t>
      </w:r>
      <w:r w:rsidR="004407B0">
        <w:t xml:space="preserve">k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D53E1F">
            <w:r>
              <w:t>2011(Ocak-</w:t>
            </w:r>
            <w:r w:rsidR="00D53E1F">
              <w:t>Eylül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D53E1F">
            <w:pPr>
              <w:jc w:val="center"/>
            </w:pPr>
            <w:r>
              <w:t>201</w:t>
            </w:r>
            <w:r w:rsidR="008F3904">
              <w:t>2</w:t>
            </w:r>
            <w:r w:rsidR="00A26F26">
              <w:t>(Ocak-</w:t>
            </w:r>
            <w:r w:rsidR="00D53E1F">
              <w:t>Eylül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53E1F">
            <w:pPr>
              <w:jc w:val="center"/>
            </w:pPr>
            <w:r>
              <w:t>663.342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D53E1F">
            <w:pPr>
              <w:jc w:val="center"/>
            </w:pPr>
            <w:r>
              <w:t xml:space="preserve"> </w:t>
            </w:r>
            <w:r w:rsidR="00D53E1F">
              <w:t>657.074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D53E1F">
            <w:pPr>
              <w:jc w:val="center"/>
            </w:pPr>
            <w:r>
              <w:t>%</w:t>
            </w:r>
            <w:r w:rsidR="0005070A">
              <w:t xml:space="preserve"> </w:t>
            </w:r>
            <w:r w:rsidR="00561CB3">
              <w:t xml:space="preserve"> </w:t>
            </w:r>
            <w:r w:rsidR="00DB2032">
              <w:t>-</w:t>
            </w:r>
            <w:r w:rsidR="00D53E1F">
              <w:t>0,94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53E1F">
            <w:pPr>
              <w:jc w:val="center"/>
            </w:pPr>
            <w:r>
              <w:t>502.982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1695B">
            <w:pPr>
              <w:jc w:val="center"/>
            </w:pPr>
            <w:r>
              <w:t>493.076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1695B">
            <w:pPr>
              <w:jc w:val="center"/>
            </w:pPr>
            <w:r>
              <w:t xml:space="preserve">% </w:t>
            </w:r>
            <w:r w:rsidR="00A179AB">
              <w:t>-</w:t>
            </w:r>
            <w:r w:rsidR="00AE6D8D">
              <w:t>1</w:t>
            </w:r>
            <w:r w:rsidR="008A2FC0">
              <w:t>,</w:t>
            </w:r>
            <w:r w:rsidR="0071695B">
              <w:t>97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05070A">
        <w:rPr>
          <w:b/>
          <w:bCs/>
        </w:rPr>
        <w:t>2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1418"/>
        <w:gridCol w:w="1417"/>
        <w:gridCol w:w="1276"/>
        <w:gridCol w:w="1417"/>
      </w:tblGrid>
      <w:tr w:rsidR="006B2724" w:rsidTr="007E0890">
        <w:tc>
          <w:tcPr>
            <w:tcW w:w="1101" w:type="dxa"/>
          </w:tcPr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2C7495" w:rsidRDefault="002C7495" w:rsidP="00D53E1F">
            <w:pPr>
              <w:jc w:val="center"/>
            </w:pPr>
            <w:r>
              <w:t>2011</w:t>
            </w:r>
            <w:r w:rsidR="001F3408">
              <w:t xml:space="preserve"> </w:t>
            </w:r>
            <w:r>
              <w:t>(</w:t>
            </w:r>
            <w:r w:rsidR="00D53E1F">
              <w:t>Eylül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D53E1F">
            <w:pPr>
              <w:jc w:val="center"/>
            </w:pPr>
            <w:r>
              <w:t>(</w:t>
            </w:r>
            <w:r w:rsidR="00D53E1F">
              <w:t>Eylül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D53E1F">
            <w:pPr>
              <w:jc w:val="center"/>
            </w:pPr>
            <w:r>
              <w:t xml:space="preserve">2011 </w:t>
            </w:r>
            <w:r w:rsidR="001B48A7">
              <w:t xml:space="preserve">     </w:t>
            </w:r>
            <w:r>
              <w:t>(Ocak-</w:t>
            </w:r>
            <w:r w:rsidR="00D53E1F">
              <w:t>Eylül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D53E1F">
            <w:pPr>
              <w:jc w:val="center"/>
            </w:pPr>
            <w:r>
              <w:t>(Ocak-</w:t>
            </w:r>
            <w:r w:rsidR="00D53E1F">
              <w:t>Eylül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D53E1F" w:rsidP="004340DF">
            <w:pPr>
              <w:jc w:val="center"/>
            </w:pPr>
            <w:r>
              <w:t>1.302</w:t>
            </w:r>
          </w:p>
        </w:tc>
        <w:tc>
          <w:tcPr>
            <w:tcW w:w="1276" w:type="dxa"/>
            <w:vAlign w:val="center"/>
          </w:tcPr>
          <w:p w:rsidR="002C7495" w:rsidRDefault="00D53E1F" w:rsidP="004340DF">
            <w:pPr>
              <w:jc w:val="center"/>
            </w:pPr>
            <w:r>
              <w:t>1.589</w:t>
            </w:r>
          </w:p>
        </w:tc>
        <w:tc>
          <w:tcPr>
            <w:tcW w:w="1418" w:type="dxa"/>
            <w:vAlign w:val="center"/>
          </w:tcPr>
          <w:p w:rsidR="002C7495" w:rsidRDefault="00A179AB" w:rsidP="00D53E1F">
            <w:pPr>
              <w:jc w:val="center"/>
            </w:pPr>
            <w:r>
              <w:t xml:space="preserve"> % </w:t>
            </w:r>
            <w:r w:rsidR="00D53E1F">
              <w:t>22</w:t>
            </w:r>
            <w:r w:rsidR="008A2FC0">
              <w:t>,</w:t>
            </w:r>
            <w:r w:rsidR="00D53E1F">
              <w:t>04</w:t>
            </w:r>
          </w:p>
        </w:tc>
        <w:tc>
          <w:tcPr>
            <w:tcW w:w="1417" w:type="dxa"/>
            <w:vAlign w:val="center"/>
          </w:tcPr>
          <w:p w:rsidR="002C7495" w:rsidRDefault="00D53E1F" w:rsidP="001B48A7">
            <w:pPr>
              <w:jc w:val="center"/>
            </w:pPr>
            <w:r>
              <w:t>13.223</w:t>
            </w:r>
          </w:p>
        </w:tc>
        <w:tc>
          <w:tcPr>
            <w:tcW w:w="1276" w:type="dxa"/>
            <w:vAlign w:val="center"/>
          </w:tcPr>
          <w:p w:rsidR="002C7495" w:rsidRDefault="00D53E1F" w:rsidP="001B48A7">
            <w:pPr>
              <w:jc w:val="center"/>
            </w:pPr>
            <w:r>
              <w:t>22.068</w:t>
            </w:r>
          </w:p>
        </w:tc>
        <w:tc>
          <w:tcPr>
            <w:tcW w:w="1417" w:type="dxa"/>
            <w:vAlign w:val="center"/>
          </w:tcPr>
          <w:p w:rsidR="002C7495" w:rsidRDefault="00A179AB" w:rsidP="00D53E1F">
            <w:pPr>
              <w:jc w:val="center"/>
            </w:pPr>
            <w:r>
              <w:t xml:space="preserve"> % </w:t>
            </w:r>
            <w:r w:rsidR="00D53E1F">
              <w:t>66,89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D53E1F" w:rsidP="004340DF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2C7495" w:rsidRDefault="00D53E1F" w:rsidP="004340D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C7495" w:rsidRDefault="00A179AB" w:rsidP="00D53E1F">
            <w:r>
              <w:t xml:space="preserve">   % </w:t>
            </w:r>
            <w:r w:rsidR="00FA258A">
              <w:t>-</w:t>
            </w:r>
            <w:r w:rsidR="00D53E1F">
              <w:t>50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D53E1F" w:rsidP="009E6F63">
            <w:pPr>
              <w:jc w:val="center"/>
            </w:pPr>
            <w:r>
              <w:t>428</w:t>
            </w:r>
          </w:p>
        </w:tc>
        <w:tc>
          <w:tcPr>
            <w:tcW w:w="1276" w:type="dxa"/>
            <w:vAlign w:val="center"/>
          </w:tcPr>
          <w:p w:rsidR="002C7495" w:rsidRDefault="00D53E1F" w:rsidP="008A2FC0">
            <w:pPr>
              <w:jc w:val="center"/>
            </w:pPr>
            <w:r>
              <w:t>131</w:t>
            </w:r>
          </w:p>
        </w:tc>
        <w:tc>
          <w:tcPr>
            <w:tcW w:w="1417" w:type="dxa"/>
            <w:vAlign w:val="center"/>
          </w:tcPr>
          <w:p w:rsidR="002C7495" w:rsidRDefault="00A179AB" w:rsidP="00D53E1F">
            <w:r>
              <w:t xml:space="preserve">   % </w:t>
            </w:r>
            <w:r w:rsidR="002A4783">
              <w:t>-</w:t>
            </w:r>
            <w:r w:rsidR="008A2FC0">
              <w:t>69,</w:t>
            </w:r>
            <w:r w:rsidR="00D53E1F">
              <w:t>39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D53E1F" w:rsidP="001B48A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C7495" w:rsidRDefault="00D53E1F" w:rsidP="008A2FC0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C7495" w:rsidRDefault="00A179AB" w:rsidP="00D53E1F">
            <w:r>
              <w:t xml:space="preserve">   % </w:t>
            </w:r>
            <w:r w:rsidR="00D53E1F">
              <w:t>200</w:t>
            </w:r>
          </w:p>
        </w:tc>
        <w:tc>
          <w:tcPr>
            <w:tcW w:w="1417" w:type="dxa"/>
            <w:vAlign w:val="center"/>
          </w:tcPr>
          <w:p w:rsidR="002C7495" w:rsidRDefault="00D53E1F" w:rsidP="004340DF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2C7495" w:rsidRDefault="00D53E1F" w:rsidP="008A2FC0">
            <w:pPr>
              <w:jc w:val="center"/>
            </w:pPr>
            <w:r>
              <w:t>133</w:t>
            </w:r>
          </w:p>
        </w:tc>
        <w:tc>
          <w:tcPr>
            <w:tcW w:w="1417" w:type="dxa"/>
            <w:vAlign w:val="center"/>
          </w:tcPr>
          <w:p w:rsidR="002C7495" w:rsidRDefault="00A179AB" w:rsidP="00D53E1F">
            <w:pPr>
              <w:jc w:val="center"/>
            </w:pPr>
            <w:r>
              <w:t xml:space="preserve"> % </w:t>
            </w:r>
            <w:r w:rsidR="004340DF">
              <w:t>6</w:t>
            </w:r>
            <w:r w:rsidR="00D53E1F">
              <w:t>6</w:t>
            </w:r>
            <w:r w:rsidR="008A2FC0">
              <w:t>,</w:t>
            </w:r>
            <w:r w:rsidR="00D53E1F">
              <w:t>25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05070A">
        <w:t>2</w:t>
      </w:r>
      <w:r w:rsidR="00C5086B">
        <w:t xml:space="preserve"> </w:t>
      </w:r>
      <w:r w:rsidR="00CC1743">
        <w:t xml:space="preserve">yılı </w:t>
      </w:r>
      <w:r w:rsidR="00D53E1F">
        <w:t>Eylül</w:t>
      </w:r>
      <w:r w:rsidR="00CC1743">
        <w:t xml:space="preserve"> ayında</w:t>
      </w:r>
      <w:r>
        <w:t xml:space="preserve"> </w:t>
      </w:r>
      <w:r w:rsidR="00E13A12">
        <w:t>1.5</w:t>
      </w:r>
      <w:r w:rsidR="00D53E1F">
        <w:t>8</w:t>
      </w:r>
      <w:r w:rsidR="00E13A12">
        <w:t>9</w:t>
      </w:r>
      <w:r>
        <w:t xml:space="preserve"> adet sürücü kartı, </w:t>
      </w:r>
      <w:r w:rsidR="00D53E1F">
        <w:t>5</w:t>
      </w:r>
      <w:r>
        <w:t xml:space="preserve"> adet şirket kartı ile </w:t>
      </w:r>
      <w:r w:rsidR="00D53E1F">
        <w:t>6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DB2032">
        <w:rPr>
          <w:b/>
          <w:sz w:val="22"/>
          <w:szCs w:val="22"/>
        </w:rPr>
        <w:t>0</w:t>
      </w:r>
      <w:r w:rsidR="00D53E1F">
        <w:rPr>
          <w:b/>
          <w:sz w:val="22"/>
          <w:szCs w:val="22"/>
        </w:rPr>
        <w:t>5</w:t>
      </w:r>
      <w:r w:rsidR="004816A9">
        <w:rPr>
          <w:b/>
          <w:sz w:val="22"/>
          <w:szCs w:val="22"/>
        </w:rPr>
        <w:t>/</w:t>
      </w:r>
      <w:r w:rsidR="00D53E1F">
        <w:rPr>
          <w:b/>
          <w:sz w:val="22"/>
          <w:szCs w:val="22"/>
        </w:rPr>
        <w:t>10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C72CDF">
        <w:rPr>
          <w:b/>
          <w:sz w:val="22"/>
          <w:szCs w:val="22"/>
        </w:rPr>
        <w:t>2</w:t>
      </w:r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50AE"/>
    <w:rsid w:val="00005D15"/>
    <w:rsid w:val="00036E01"/>
    <w:rsid w:val="00037E95"/>
    <w:rsid w:val="00046519"/>
    <w:rsid w:val="0005070A"/>
    <w:rsid w:val="00056A0B"/>
    <w:rsid w:val="00086416"/>
    <w:rsid w:val="000B0C0A"/>
    <w:rsid w:val="000B16E0"/>
    <w:rsid w:val="000C3931"/>
    <w:rsid w:val="000D3B4B"/>
    <w:rsid w:val="000D52AF"/>
    <w:rsid w:val="000F11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7495"/>
    <w:rsid w:val="002E3D42"/>
    <w:rsid w:val="002F30BD"/>
    <w:rsid w:val="00300973"/>
    <w:rsid w:val="00304A83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4A70"/>
    <w:rsid w:val="003F70CC"/>
    <w:rsid w:val="00407E51"/>
    <w:rsid w:val="004167F2"/>
    <w:rsid w:val="00426555"/>
    <w:rsid w:val="0043167E"/>
    <w:rsid w:val="004340DF"/>
    <w:rsid w:val="0043608C"/>
    <w:rsid w:val="004407B0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17933"/>
    <w:rsid w:val="0052796A"/>
    <w:rsid w:val="00536395"/>
    <w:rsid w:val="00541A61"/>
    <w:rsid w:val="0055505E"/>
    <w:rsid w:val="00561CB3"/>
    <w:rsid w:val="00590459"/>
    <w:rsid w:val="0059190A"/>
    <w:rsid w:val="00594F5F"/>
    <w:rsid w:val="005C781B"/>
    <w:rsid w:val="005D6E6F"/>
    <w:rsid w:val="005E478F"/>
    <w:rsid w:val="005F1359"/>
    <w:rsid w:val="00614868"/>
    <w:rsid w:val="00625CDD"/>
    <w:rsid w:val="00661774"/>
    <w:rsid w:val="006635C8"/>
    <w:rsid w:val="00666BF0"/>
    <w:rsid w:val="00696C85"/>
    <w:rsid w:val="006B0939"/>
    <w:rsid w:val="006B2724"/>
    <w:rsid w:val="006E2F13"/>
    <w:rsid w:val="007038DD"/>
    <w:rsid w:val="00707AEB"/>
    <w:rsid w:val="0071695B"/>
    <w:rsid w:val="0073584C"/>
    <w:rsid w:val="00742B7E"/>
    <w:rsid w:val="00742D92"/>
    <w:rsid w:val="007550AE"/>
    <w:rsid w:val="00767DC8"/>
    <w:rsid w:val="00770A4F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8022AD"/>
    <w:rsid w:val="0081513F"/>
    <w:rsid w:val="008211B6"/>
    <w:rsid w:val="00827447"/>
    <w:rsid w:val="00840FC8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3A6A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E1945"/>
    <w:rsid w:val="00AE6D8D"/>
    <w:rsid w:val="00AF0F16"/>
    <w:rsid w:val="00B00614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739B"/>
    <w:rsid w:val="00B97606"/>
    <w:rsid w:val="00BD13A3"/>
    <w:rsid w:val="00BD3D6A"/>
    <w:rsid w:val="00BE329B"/>
    <w:rsid w:val="00BE5617"/>
    <w:rsid w:val="00BF64ED"/>
    <w:rsid w:val="00C07B91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4D8"/>
    <w:rsid w:val="00EE6DA7"/>
    <w:rsid w:val="00EF073D"/>
    <w:rsid w:val="00F03F3B"/>
    <w:rsid w:val="00F12754"/>
    <w:rsid w:val="00F148F9"/>
    <w:rsid w:val="00F151A3"/>
    <w:rsid w:val="00F168A7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E0EC9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4A429F0F3EEA46BC2EB3AE7DF587C1" ma:contentTypeVersion="4" ma:contentTypeDescription="Yeni belge oluşturun." ma:contentTypeScope="" ma:versionID="2bc6bfed7f2cc78c5afffc554ea7771d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268af14523a7d8f5ac6d22d1eed1532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2275DMW4H6TN-44-806</_dlc_DocId>
    <_dlc_DocIdUrl xmlns="02ef6456-6971-40a6-83fa-6b0619ff88f9">
      <Url>http://www.tobb.org.tr/_layouts/DocIdRedir.aspx?ID=2275DMW4H6TN-44-806</Url>
      <Description>2275DMW4H6TN-44-806</Description>
    </_dlc_DocIdUrl>
  </documentManagement>
</p:properties>
</file>

<file path=customXml/itemProps1.xml><?xml version="1.0" encoding="utf-8"?>
<ds:datastoreItem xmlns:ds="http://schemas.openxmlformats.org/officeDocument/2006/customXml" ds:itemID="{79700175-0CA8-4D24-A78D-C5F995ED97A7}"/>
</file>

<file path=customXml/itemProps2.xml><?xml version="1.0" encoding="utf-8"?>
<ds:datastoreItem xmlns:ds="http://schemas.openxmlformats.org/officeDocument/2006/customXml" ds:itemID="{EA8E1B3A-8481-4B09-9B5F-010D0552771A}"/>
</file>

<file path=customXml/itemProps3.xml><?xml version="1.0" encoding="utf-8"?>
<ds:datastoreItem xmlns:ds="http://schemas.openxmlformats.org/officeDocument/2006/customXml" ds:itemID="{B60D25FA-77C5-46B3-A655-123C27D7C699}"/>
</file>

<file path=customXml/itemProps4.xml><?xml version="1.0" encoding="utf-8"?>
<ds:datastoreItem xmlns:ds="http://schemas.openxmlformats.org/officeDocument/2006/customXml" ds:itemID="{4F61BF37-FC3E-4040-9B59-15D4627E8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2012-10-05T12:43:00Z</dcterms:created>
  <dcterms:modified xsi:type="dcterms:W3CDTF">2012-10-05T12:43:00Z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0x010100074A429F0F3EEA46BC2EB3AE7DF587C1</vt:lpwstr>
  </property>
  <property fmtid="{D5CDD505-2E9C-101B-9397-08002B2CF9AE}" pid="3" name="_dlc_DocIdItemGuid">
    <vt:lpwstr>8353e3d2-c723-49fd-9459-d5dc8bdb817a</vt:lpwstr>
  </property>
</Properties>
</file>