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5E6B69">
        <w:rPr>
          <w:b/>
        </w:rPr>
        <w:t>EYLÜL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5E6B69">
        <w:rPr>
          <w:b/>
        </w:rPr>
        <w:t>EYLÜL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5E6B69">
        <w:rPr>
          <w:b/>
          <w:u w:val="single"/>
        </w:rPr>
        <w:t>5</w:t>
      </w:r>
      <w:r w:rsidR="00957189">
        <w:rPr>
          <w:b/>
          <w:u w:val="single"/>
        </w:rPr>
        <w:t>,</w:t>
      </w:r>
      <w:r w:rsidR="005E6B69">
        <w:rPr>
          <w:b/>
          <w:u w:val="single"/>
        </w:rPr>
        <w:t>94</w:t>
      </w:r>
      <w:r w:rsidRPr="002E3D42">
        <w:rPr>
          <w:b/>
          <w:u w:val="single"/>
        </w:rPr>
        <w:t>’L</w:t>
      </w:r>
      <w:r w:rsidR="005E6B69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E54845">
        <w:rPr>
          <w:b/>
          <w:u w:val="single"/>
        </w:rPr>
        <w:t xml:space="preserve"> ARTIŞ </w:t>
      </w:r>
      <w:r w:rsidR="00954E2C">
        <w:rPr>
          <w:b/>
          <w:u w:val="single"/>
        </w:rPr>
        <w:t xml:space="preserve">OLDUĞU GÖRÜLMESİNE </w:t>
      </w:r>
      <w:r w:rsidR="00E54845">
        <w:rPr>
          <w:b/>
          <w:u w:val="single"/>
        </w:rPr>
        <w:t>RAĞMEN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5E6B69">
        <w:rPr>
          <w:b/>
          <w:u w:val="single"/>
        </w:rPr>
        <w:t>20</w:t>
      </w:r>
      <w:r w:rsidR="009359C1">
        <w:rPr>
          <w:b/>
          <w:u w:val="single"/>
        </w:rPr>
        <w:t>,</w:t>
      </w:r>
      <w:r w:rsidR="005E6B69">
        <w:rPr>
          <w:b/>
          <w:u w:val="single"/>
        </w:rPr>
        <w:t>3</w:t>
      </w:r>
      <w:r w:rsidR="009359C1">
        <w:rPr>
          <w:b/>
          <w:u w:val="single"/>
        </w:rPr>
        <w:t>3</w:t>
      </w:r>
      <w:r w:rsidR="00E20EBD" w:rsidRPr="002E3D42">
        <w:rPr>
          <w:b/>
          <w:u w:val="single"/>
        </w:rPr>
        <w:t>’L</w:t>
      </w:r>
      <w:r w:rsidR="009359C1">
        <w:rPr>
          <w:b/>
          <w:u w:val="single"/>
        </w:rPr>
        <w:t>Ü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5E6B69">
        <w:rPr>
          <w:b/>
        </w:rPr>
        <w:t>DOKUZ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5E6B69">
        <w:rPr>
          <w:b/>
          <w:u w:val="single"/>
        </w:rPr>
        <w:t>0,77</w:t>
      </w:r>
      <w:r w:rsidR="007B5079">
        <w:rPr>
          <w:b/>
          <w:u w:val="single"/>
        </w:rPr>
        <w:t>’L</w:t>
      </w:r>
      <w:r w:rsidR="005E6B6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2D6666">
        <w:rPr>
          <w:b/>
          <w:u w:val="single"/>
        </w:rPr>
        <w:t>24,</w:t>
      </w:r>
      <w:r w:rsidR="005E6B69">
        <w:rPr>
          <w:b/>
          <w:u w:val="single"/>
        </w:rPr>
        <w:t>05</w:t>
      </w:r>
      <w:r w:rsidR="007B5079">
        <w:rPr>
          <w:b/>
          <w:u w:val="single"/>
        </w:rPr>
        <w:t>’L</w:t>
      </w:r>
      <w:r w:rsidR="005E6B6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545939">
        <w:t>Eylül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545939">
        <w:t>Eylül</w:t>
      </w:r>
      <w:r w:rsidR="004407B0">
        <w:t xml:space="preserve"> ayına göre verilen geçiş belgesi sayısında yüzde </w:t>
      </w:r>
      <w:r w:rsidR="00545939">
        <w:t>5</w:t>
      </w:r>
      <w:r w:rsidR="002D6666">
        <w:t>,</w:t>
      </w:r>
      <w:r w:rsidR="00545939">
        <w:t>94</w:t>
      </w:r>
      <w:r w:rsidR="00F172B8">
        <w:t>’l</w:t>
      </w:r>
      <w:r w:rsidR="00545939">
        <w:t>ü</w:t>
      </w:r>
      <w:r w:rsidR="00410F14">
        <w:t>k</w:t>
      </w:r>
      <w:r w:rsidR="00954E2C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E614A9">
        <w:t xml:space="preserve"> </w:t>
      </w:r>
      <w:r w:rsidR="004407B0">
        <w:t xml:space="preserve">yüzde </w:t>
      </w:r>
      <w:r w:rsidR="00545939">
        <w:t>20</w:t>
      </w:r>
      <w:r w:rsidR="002D6666">
        <w:t>,</w:t>
      </w:r>
      <w:r w:rsidR="00545939">
        <w:t>3</w:t>
      </w:r>
      <w:r w:rsidR="002D6666">
        <w:t>3’lü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45939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545939">
              <w:t>Eylül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45939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545939">
              <w:t>Eylül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 w:rsidP="00BD28C9">
            <w:pPr>
              <w:jc w:val="center"/>
            </w:pPr>
            <w:r>
              <w:t>76.676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 w:rsidP="006A7F58">
            <w:pPr>
              <w:jc w:val="center"/>
            </w:pPr>
            <w:r>
              <w:t>81.234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545939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545939">
              <w:t>5,94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 w:rsidP="00E614A9">
            <w:pPr>
              <w:jc w:val="center"/>
            </w:pPr>
            <w:r>
              <w:t>45.921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 w:rsidP="00753E96">
            <w:pPr>
              <w:jc w:val="center"/>
            </w:pPr>
            <w:r>
              <w:t>36.585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545939">
            <w:r>
              <w:t xml:space="preserve">        </w:t>
            </w:r>
            <w:r w:rsidR="00AE6D8D">
              <w:t>% -</w:t>
            </w:r>
            <w:r w:rsidR="00545939">
              <w:t>20,33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545939">
        <w:t>dokuz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545939">
        <w:t>0,77</w:t>
      </w:r>
      <w:r w:rsidR="00EB4F82">
        <w:t>’</w:t>
      </w:r>
      <w:r w:rsidR="00545939">
        <w:t>li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2D6666">
        <w:t>24,</w:t>
      </w:r>
      <w:r w:rsidR="00545939">
        <w:t>05’li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126"/>
      </w:tblGrid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545939">
            <w:r>
              <w:t>201</w:t>
            </w:r>
            <w:r w:rsidR="006A7F58">
              <w:t>3</w:t>
            </w:r>
            <w:r>
              <w:t>(Ocak-</w:t>
            </w:r>
            <w:r w:rsidR="00545939">
              <w:t>Eylül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45939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545939">
              <w:t>Eylül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>
            <w:pPr>
              <w:jc w:val="center"/>
            </w:pPr>
            <w:r>
              <w:t>660.300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 w:rsidP="00836C0B">
            <w:pPr>
              <w:jc w:val="center"/>
            </w:pPr>
            <w:r>
              <w:t>655.194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545939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545939">
              <w:t>0,77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>
            <w:pPr>
              <w:jc w:val="center"/>
            </w:pPr>
            <w:r>
              <w:t>428.030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45939">
            <w:pPr>
              <w:jc w:val="center"/>
            </w:pPr>
            <w:r>
              <w:t>325.110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545939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2D6666">
              <w:t>24,</w:t>
            </w:r>
            <w:r w:rsidR="00545939">
              <w:t>05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1701"/>
        <w:gridCol w:w="1843"/>
        <w:gridCol w:w="1276"/>
      </w:tblGrid>
      <w:tr w:rsidR="00334334" w:rsidTr="00545939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545939">
            <w:pPr>
              <w:jc w:val="center"/>
            </w:pPr>
            <w:r>
              <w:t>(</w:t>
            </w:r>
            <w:r w:rsidR="00545939">
              <w:t>Eylül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545939" w:rsidP="00545939">
            <w:r>
              <w:t xml:space="preserve">   </w:t>
            </w:r>
            <w:r w:rsidR="00A26F26">
              <w:t>(</w:t>
            </w:r>
            <w:r>
              <w:t>Eylül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701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r w:rsidR="00A26F26">
              <w:t>201</w:t>
            </w:r>
            <w:r>
              <w:t>3</w:t>
            </w:r>
          </w:p>
          <w:p w:rsidR="002C7495" w:rsidRDefault="0077335E" w:rsidP="00545939">
            <w:r>
              <w:t>(Ocak-</w:t>
            </w:r>
            <w:r w:rsidR="00545939">
              <w:t>Eylül</w:t>
            </w:r>
            <w:r w:rsidR="00A26F26">
              <w:t>)</w:t>
            </w:r>
          </w:p>
        </w:tc>
        <w:tc>
          <w:tcPr>
            <w:tcW w:w="1843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545939">
            <w:r>
              <w:t>(Ocak-</w:t>
            </w:r>
            <w:r w:rsidR="00545939">
              <w:t>Eylül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334334" w:rsidTr="00545939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545939" w:rsidP="00774D3D">
            <w:pPr>
              <w:jc w:val="center"/>
            </w:pPr>
            <w:r>
              <w:t>1.477</w:t>
            </w:r>
          </w:p>
        </w:tc>
        <w:tc>
          <w:tcPr>
            <w:tcW w:w="1275" w:type="dxa"/>
            <w:vAlign w:val="center"/>
          </w:tcPr>
          <w:p w:rsidR="002C7495" w:rsidRDefault="00545939" w:rsidP="00305121">
            <w:pPr>
              <w:jc w:val="center"/>
            </w:pPr>
            <w:r>
              <w:t>4.979</w:t>
            </w:r>
          </w:p>
        </w:tc>
        <w:tc>
          <w:tcPr>
            <w:tcW w:w="1276" w:type="dxa"/>
            <w:vAlign w:val="center"/>
          </w:tcPr>
          <w:p w:rsidR="002C7495" w:rsidRDefault="00A179AB" w:rsidP="00545939">
            <w:r>
              <w:t xml:space="preserve">% </w:t>
            </w:r>
            <w:r w:rsidR="00545939">
              <w:t>237,10</w:t>
            </w:r>
          </w:p>
        </w:tc>
        <w:tc>
          <w:tcPr>
            <w:tcW w:w="1701" w:type="dxa"/>
            <w:vAlign w:val="center"/>
          </w:tcPr>
          <w:p w:rsidR="002C7495" w:rsidRDefault="00004406" w:rsidP="001B48A7">
            <w:pPr>
              <w:jc w:val="center"/>
            </w:pPr>
            <w:r>
              <w:t>18.181</w:t>
            </w:r>
          </w:p>
        </w:tc>
        <w:tc>
          <w:tcPr>
            <w:tcW w:w="1843" w:type="dxa"/>
            <w:vAlign w:val="center"/>
          </w:tcPr>
          <w:p w:rsidR="002C7495" w:rsidRDefault="00004406" w:rsidP="001B48A7">
            <w:pPr>
              <w:jc w:val="center"/>
            </w:pPr>
            <w:r>
              <w:t>23.836</w:t>
            </w:r>
          </w:p>
        </w:tc>
        <w:tc>
          <w:tcPr>
            <w:tcW w:w="1276" w:type="dxa"/>
            <w:vAlign w:val="center"/>
          </w:tcPr>
          <w:p w:rsidR="002C7495" w:rsidRDefault="00032442" w:rsidP="00004406">
            <w:r>
              <w:t xml:space="preserve">  </w:t>
            </w:r>
            <w:r w:rsidR="00A179AB">
              <w:t xml:space="preserve">% </w:t>
            </w:r>
            <w:r w:rsidR="00004406">
              <w:t>31,10</w:t>
            </w:r>
          </w:p>
        </w:tc>
      </w:tr>
      <w:tr w:rsidR="00334334" w:rsidTr="00545939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545939" w:rsidP="00774D3D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2C7495" w:rsidRDefault="00545939" w:rsidP="006B7B73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2C7495" w:rsidRDefault="00A179AB" w:rsidP="00545939">
            <w:r>
              <w:t xml:space="preserve">% </w:t>
            </w:r>
            <w:r w:rsidR="00545939">
              <w:t>290,91</w:t>
            </w:r>
          </w:p>
        </w:tc>
        <w:tc>
          <w:tcPr>
            <w:tcW w:w="1701" w:type="dxa"/>
            <w:vAlign w:val="center"/>
          </w:tcPr>
          <w:p w:rsidR="002C7495" w:rsidRDefault="00004406" w:rsidP="00F54F87">
            <w:pPr>
              <w:jc w:val="center"/>
            </w:pPr>
            <w:r>
              <w:t>57</w:t>
            </w:r>
          </w:p>
        </w:tc>
        <w:tc>
          <w:tcPr>
            <w:tcW w:w="1843" w:type="dxa"/>
            <w:vAlign w:val="center"/>
          </w:tcPr>
          <w:p w:rsidR="002C7495" w:rsidRDefault="00004406" w:rsidP="0028123C">
            <w:pPr>
              <w:jc w:val="center"/>
            </w:pPr>
            <w:r>
              <w:t>186</w:t>
            </w:r>
          </w:p>
        </w:tc>
        <w:tc>
          <w:tcPr>
            <w:tcW w:w="1276" w:type="dxa"/>
            <w:vAlign w:val="center"/>
          </w:tcPr>
          <w:p w:rsidR="002C7495" w:rsidRDefault="00D81B72" w:rsidP="00004406">
            <w:r>
              <w:t xml:space="preserve">  </w:t>
            </w:r>
            <w:r w:rsidR="00A179AB">
              <w:t xml:space="preserve">% </w:t>
            </w:r>
            <w:r w:rsidR="00004406">
              <w:t>226,32</w:t>
            </w:r>
          </w:p>
        </w:tc>
      </w:tr>
      <w:tr w:rsidR="00334334" w:rsidTr="00545939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545939" w:rsidP="00D81B72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2C7495" w:rsidRDefault="00545939" w:rsidP="00F54F87">
            <w:pPr>
              <w:jc w:val="center"/>
            </w:pPr>
            <w:r>
              <w:t>1</w:t>
            </w:r>
            <w:r w:rsidR="00334334">
              <w:t>3</w:t>
            </w:r>
          </w:p>
        </w:tc>
        <w:tc>
          <w:tcPr>
            <w:tcW w:w="1276" w:type="dxa"/>
            <w:vAlign w:val="center"/>
          </w:tcPr>
          <w:p w:rsidR="002C7495" w:rsidRDefault="004435EC" w:rsidP="00004406">
            <w:r>
              <w:t>%</w:t>
            </w:r>
            <w:r w:rsidR="00CE692D">
              <w:t xml:space="preserve"> </w:t>
            </w:r>
            <w:r w:rsidR="00004406">
              <w:t>18,18</w:t>
            </w:r>
          </w:p>
        </w:tc>
        <w:tc>
          <w:tcPr>
            <w:tcW w:w="1701" w:type="dxa"/>
            <w:vAlign w:val="center"/>
          </w:tcPr>
          <w:p w:rsidR="002C7495" w:rsidRDefault="00004406" w:rsidP="00CE692D">
            <w:pPr>
              <w:jc w:val="center"/>
            </w:pPr>
            <w:r>
              <w:t>107</w:t>
            </w:r>
          </w:p>
        </w:tc>
        <w:tc>
          <w:tcPr>
            <w:tcW w:w="1843" w:type="dxa"/>
            <w:vAlign w:val="center"/>
          </w:tcPr>
          <w:p w:rsidR="002C7495" w:rsidRDefault="00004406" w:rsidP="00334334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2C7495" w:rsidRDefault="00CE692D" w:rsidP="00004406">
            <w:pPr>
              <w:jc w:val="center"/>
            </w:pPr>
            <w:r>
              <w:t xml:space="preserve"> </w:t>
            </w:r>
            <w:r w:rsidR="006B7B73">
              <w:t xml:space="preserve">% </w:t>
            </w:r>
            <w:r w:rsidR="00004406">
              <w:t>110,28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004406">
        <w:t>Eylül</w:t>
      </w:r>
      <w:r w:rsidR="00CC1743">
        <w:t xml:space="preserve"> ayında</w:t>
      </w:r>
      <w:r>
        <w:t xml:space="preserve"> </w:t>
      </w:r>
      <w:r w:rsidR="00004406">
        <w:t>4.979</w:t>
      </w:r>
      <w:r>
        <w:t xml:space="preserve"> adet sürücü kartı, </w:t>
      </w:r>
      <w:r w:rsidR="00004406">
        <w:t>43</w:t>
      </w:r>
      <w:r>
        <w:t xml:space="preserve"> adet şirket kartı ile </w:t>
      </w:r>
      <w:r w:rsidR="00004406">
        <w:t>13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004406">
        <w:rPr>
          <w:b/>
          <w:sz w:val="22"/>
          <w:szCs w:val="22"/>
        </w:rPr>
        <w:t>14</w:t>
      </w:r>
      <w:r w:rsidR="004816A9">
        <w:rPr>
          <w:b/>
          <w:sz w:val="22"/>
          <w:szCs w:val="22"/>
        </w:rPr>
        <w:t>/</w:t>
      </w:r>
      <w:r w:rsidR="00004406">
        <w:rPr>
          <w:b/>
          <w:sz w:val="22"/>
          <w:szCs w:val="22"/>
        </w:rPr>
        <w:t>10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4406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D6666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45939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E6B69"/>
    <w:rsid w:val="005F1359"/>
    <w:rsid w:val="005F2000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359C1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E692D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4</cp:revision>
  <cp:lastPrinted>2014-01-06T12:03:00Z</cp:lastPrinted>
  <dcterms:created xsi:type="dcterms:W3CDTF">2014-10-14T07:28:00Z</dcterms:created>
  <dcterms:modified xsi:type="dcterms:W3CDTF">2014-10-14T07:41:00Z</dcterms:modified>
</cp:coreProperties>
</file>